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09B03" w14:textId="57E07911" w:rsidR="00C222FE" w:rsidRPr="00C222FE" w:rsidRDefault="00C222FE" w:rsidP="00C222FE">
      <w:r w:rsidRPr="00C222FE">
        <w:t>Charles</w:t>
      </w:r>
      <w:r w:rsidR="004506F6">
        <w:t xml:space="preserve"> </w:t>
      </w:r>
      <w:r w:rsidRPr="00C222FE">
        <w:t>Debattista</w:t>
      </w:r>
    </w:p>
    <w:p w14:paraId="4F49EA3A" w14:textId="095C1570" w:rsidR="00C222FE" w:rsidRDefault="00C222FE" w:rsidP="00C222FE"/>
    <w:p w14:paraId="4EDEAB2C" w14:textId="550C3ED3" w:rsidR="00C222FE" w:rsidRPr="00C222FE" w:rsidRDefault="00C222FE" w:rsidP="00C222FE">
      <w:r>
        <w:t>Charles practises as a barrister and arbitrator from 36 Stone in London.</w:t>
      </w:r>
    </w:p>
    <w:p w14:paraId="641EF0D9" w14:textId="24AC46E8" w:rsidR="00B76461" w:rsidRDefault="00C222FE" w:rsidP="00C222FE">
      <w:r>
        <w:rPr>
          <w:b/>
          <w:bCs/>
        </w:rPr>
        <w:t xml:space="preserve">He </w:t>
      </w:r>
      <w:r w:rsidRPr="00C222FE">
        <w:rPr>
          <w:b/>
          <w:bCs/>
        </w:rPr>
        <w:t xml:space="preserve"> has been arbitrating since 2002, under LMAA, ICC, </w:t>
      </w:r>
      <w:r>
        <w:rPr>
          <w:b/>
          <w:bCs/>
        </w:rPr>
        <w:t xml:space="preserve">SCMA, HKIAC, </w:t>
      </w:r>
      <w:r w:rsidRPr="00C222FE">
        <w:rPr>
          <w:b/>
          <w:bCs/>
        </w:rPr>
        <w:t xml:space="preserve">GAFTA and FOSFA Rules; he also takes appointments in ad hoc references. </w:t>
      </w:r>
      <w:r w:rsidRPr="00C222FE">
        <w:br/>
        <w:t>Charles has either decided or appeared in 200 references, ranging from small values to USD</w:t>
      </w:r>
      <w:r>
        <w:t>100</w:t>
      </w:r>
      <w:r w:rsidRPr="00C222FE">
        <w:t xml:space="preserve">m. </w:t>
      </w:r>
      <w:r>
        <w:t xml:space="preserve">Charles attracts appointments in all aspects of dry shipping disputes, international sales </w:t>
      </w:r>
      <w:r w:rsidR="00165878">
        <w:t xml:space="preserve">of commodities and other goods, letters of credit and bank guarantees, energy, ship management, and super-yacht disputes and more general international commercial contact matters. </w:t>
      </w:r>
      <w:r w:rsidRPr="00C222FE">
        <w:t>He has had several of his Awards approved on reference up to the Courts, among which most recently:</w:t>
      </w:r>
    </w:p>
    <w:p w14:paraId="2FE0E8AD" w14:textId="60A83E71" w:rsidR="009B64E7" w:rsidRDefault="00C222FE" w:rsidP="00C222FE">
      <w:r w:rsidRPr="00C222FE">
        <w:br/>
      </w:r>
      <w:proofErr w:type="spellStart"/>
      <w:r w:rsidRPr="00C222FE">
        <w:rPr>
          <w:i/>
          <w:iCs/>
        </w:rPr>
        <w:t>Soufflet</w:t>
      </w:r>
      <w:proofErr w:type="spellEnd"/>
      <w:r w:rsidRPr="00C222FE">
        <w:rPr>
          <w:i/>
          <w:iCs/>
        </w:rPr>
        <w:t xml:space="preserve"> </w:t>
      </w:r>
      <w:proofErr w:type="spellStart"/>
      <w:r w:rsidRPr="00C222FE">
        <w:rPr>
          <w:i/>
          <w:iCs/>
        </w:rPr>
        <w:t>Negoce</w:t>
      </w:r>
      <w:proofErr w:type="spellEnd"/>
      <w:r w:rsidRPr="00C222FE">
        <w:rPr>
          <w:i/>
          <w:iCs/>
        </w:rPr>
        <w:t xml:space="preserve"> v Bunge</w:t>
      </w:r>
      <w:r w:rsidRPr="00C222FE">
        <w:t> [2011] 1 Lloyd’s Rep 531 on the readiness of the vessel in fob sales.</w:t>
      </w:r>
      <w:r w:rsidRPr="00C222FE">
        <w:br/>
      </w:r>
      <w:r w:rsidRPr="00C222FE">
        <w:rPr>
          <w:i/>
          <w:iCs/>
        </w:rPr>
        <w:t>The Darya Radhe</w:t>
      </w:r>
      <w:r w:rsidRPr="00C222FE">
        <w:t> [2009] 2 Lloyd’s Rep 175 on dangerous goods in the carriage of goods by sea.</w:t>
      </w:r>
      <w:r w:rsidRPr="00C222FE">
        <w:br/>
      </w:r>
      <w:proofErr w:type="spellStart"/>
      <w:r w:rsidRPr="00C222FE">
        <w:rPr>
          <w:i/>
          <w:iCs/>
        </w:rPr>
        <w:t>Sanhe</w:t>
      </w:r>
      <w:proofErr w:type="spellEnd"/>
      <w:r w:rsidRPr="00C222FE">
        <w:rPr>
          <w:i/>
          <w:iCs/>
        </w:rPr>
        <w:t xml:space="preserve"> Hope v Toepfer</w:t>
      </w:r>
      <w:r w:rsidRPr="00C222FE">
        <w:t> [2008] 1 Lloyds Rep 458 on the measure of damages in sale contracts. </w:t>
      </w:r>
      <w:r w:rsidRPr="00C222FE">
        <w:br/>
      </w:r>
      <w:r w:rsidRPr="00C222FE">
        <w:br/>
        <w:t xml:space="preserve">Charles has written prolifically in his areas of expertise, concentrating in particular on the complex relationships between charterparties and bills of lading and the underlying contracts of sale and letters of credit. His writing has frequently been cited in courts in the UK and abroad, </w:t>
      </w:r>
      <w:r w:rsidR="005D1AE8">
        <w:t xml:space="preserve">for example </w:t>
      </w:r>
      <w:r w:rsidR="009B64E7">
        <w:t xml:space="preserve">in: </w:t>
      </w:r>
    </w:p>
    <w:p w14:paraId="0C296772" w14:textId="77777777" w:rsidR="00053CFD" w:rsidRDefault="00C222FE" w:rsidP="00C222FE">
      <w:pPr>
        <w:rPr>
          <w:u w:val="single"/>
        </w:rPr>
      </w:pPr>
      <w:r w:rsidRPr="00C222FE">
        <w:br/>
      </w:r>
      <w:proofErr w:type="spellStart"/>
      <w:r w:rsidRPr="00C222FE">
        <w:rPr>
          <w:i/>
          <w:iCs/>
        </w:rPr>
        <w:t>Profindo</w:t>
      </w:r>
      <w:proofErr w:type="spellEnd"/>
      <w:r w:rsidRPr="00C222FE">
        <w:rPr>
          <w:i/>
          <w:iCs/>
        </w:rPr>
        <w:t xml:space="preserve"> Pte Ltd v Abani Trading Pte Ltd</w:t>
      </w:r>
      <w:r w:rsidRPr="00C222FE">
        <w:t> 2013 SGHC 10, Court of Appeal, Singapore</w:t>
      </w:r>
      <w:r w:rsidRPr="00C222FE">
        <w:br/>
      </w:r>
      <w:r w:rsidRPr="00C222FE">
        <w:rPr>
          <w:i/>
          <w:iCs/>
        </w:rPr>
        <w:t xml:space="preserve">AP Moller-Maersk v </w:t>
      </w:r>
      <w:proofErr w:type="spellStart"/>
      <w:r w:rsidRPr="00C222FE">
        <w:rPr>
          <w:i/>
          <w:iCs/>
        </w:rPr>
        <w:t>Sonaec</w:t>
      </w:r>
      <w:proofErr w:type="spellEnd"/>
      <w:r w:rsidRPr="00C222FE">
        <w:rPr>
          <w:i/>
          <w:iCs/>
        </w:rPr>
        <w:t xml:space="preserve"> Villas</w:t>
      </w:r>
      <w:r w:rsidRPr="00C222FE">
        <w:t> [2011] 1 Lloyd’s Rep 1 on straight bills of lading.</w:t>
      </w:r>
      <w:r w:rsidRPr="00C222FE">
        <w:br/>
      </w:r>
      <w:r w:rsidRPr="00C222FE">
        <w:rPr>
          <w:i/>
          <w:iCs/>
        </w:rPr>
        <w:t xml:space="preserve">The </w:t>
      </w:r>
      <w:proofErr w:type="spellStart"/>
      <w:r w:rsidRPr="00C222FE">
        <w:rPr>
          <w:i/>
          <w:iCs/>
        </w:rPr>
        <w:t>Mercini</w:t>
      </w:r>
      <w:proofErr w:type="spellEnd"/>
      <w:r w:rsidRPr="00C222FE">
        <w:rPr>
          <w:i/>
          <w:iCs/>
        </w:rPr>
        <w:t xml:space="preserve"> Lady</w:t>
      </w:r>
      <w:r w:rsidRPr="00C222FE">
        <w:t> [2009] 2 Lloyd’s Rep 679 on certificate final clauses.</w:t>
      </w:r>
      <w:r w:rsidRPr="00C222FE">
        <w:br/>
      </w:r>
      <w:r w:rsidRPr="00C222FE">
        <w:rPr>
          <w:i/>
          <w:iCs/>
        </w:rPr>
        <w:t>The Rafaela S</w:t>
      </w:r>
      <w:r w:rsidRPr="00C222FE">
        <w:t> [2005] 1 Lloyd’s Rep 347 on straight bills of lading.</w:t>
      </w:r>
      <w:r w:rsidRPr="00C222FE">
        <w:br/>
      </w:r>
      <w:r w:rsidRPr="00C222FE">
        <w:rPr>
          <w:i/>
          <w:iCs/>
        </w:rPr>
        <w:t xml:space="preserve">The </w:t>
      </w:r>
      <w:proofErr w:type="spellStart"/>
      <w:r w:rsidRPr="00C222FE">
        <w:rPr>
          <w:i/>
          <w:iCs/>
        </w:rPr>
        <w:t>Starsin</w:t>
      </w:r>
      <w:proofErr w:type="spellEnd"/>
      <w:r w:rsidRPr="00C222FE">
        <w:t> [2003] 1 Lloyd’s Rep 371 on the identity of the carrier in cargo claims.</w:t>
      </w:r>
      <w:r w:rsidRPr="00C222FE">
        <w:br/>
      </w:r>
      <w:r w:rsidRPr="00C222FE">
        <w:rPr>
          <w:i/>
          <w:iCs/>
        </w:rPr>
        <w:t>Uco Bank v Golden Shore Transportation </w:t>
      </w:r>
      <w:r w:rsidRPr="00C222FE">
        <w:t>[2005] SGCA 42, Singapore Court of Appeals, on the endorsement of bills of lading.</w:t>
      </w:r>
      <w:r w:rsidRPr="00C222FE">
        <w:br/>
      </w:r>
      <w:r w:rsidRPr="00C222FE">
        <w:rPr>
          <w:u w:val="single"/>
        </w:rPr>
        <w:br/>
        <w:t>Major publications include:</w:t>
      </w:r>
    </w:p>
    <w:p w14:paraId="61AB95F9" w14:textId="447F9ABF" w:rsidR="00C222FE" w:rsidRPr="00731BB2" w:rsidRDefault="00172C5A" w:rsidP="00C222FE">
      <w:pPr>
        <w:rPr>
          <w:b/>
          <w:bCs/>
        </w:rPr>
      </w:pPr>
      <w:r>
        <w:rPr>
          <w:u w:val="single"/>
        </w:rPr>
        <w:t>Debattista on Bills and Landing in Commodity Trading (2021)</w:t>
      </w:r>
      <w:r w:rsidR="00D11240">
        <w:rPr>
          <w:u w:val="single"/>
        </w:rPr>
        <w:t xml:space="preserve"> with </w:t>
      </w:r>
      <w:hyperlink r:id="rId5" w:history="1">
        <w:r w:rsidR="00D11240" w:rsidRPr="00D11240">
          <w:rPr>
            <w:rStyle w:val="Hyperlink"/>
          </w:rPr>
          <w:t>Francis Hornyold-Strickland</w:t>
        </w:r>
      </w:hyperlink>
      <w:r w:rsidR="00D11240" w:rsidRPr="00D11240">
        <w:rPr>
          <w:u w:val="single"/>
        </w:rPr>
        <w:t> </w:t>
      </w:r>
      <w:r w:rsidR="00C222FE" w:rsidRPr="00C222FE">
        <w:br/>
      </w:r>
      <w:r w:rsidR="00C222FE" w:rsidRPr="00C222FE">
        <w:lastRenderedPageBreak/>
        <w:t>Sale of Ships under the Singapore Form, [with F. Lorenzon], Lexis-Nexis, 2013</w:t>
      </w:r>
      <w:r w:rsidR="00C222FE" w:rsidRPr="00C222FE">
        <w:br/>
        <w:t>Maritime Law, Sweet and Maxwell, 2011, co-author</w:t>
      </w:r>
      <w:r w:rsidR="00C222FE" w:rsidRPr="00C222FE">
        <w:br/>
        <w:t>Transfer of Property in International Sales (ICC-Paris, 2010), co-author</w:t>
      </w:r>
      <w:r w:rsidR="00C222FE" w:rsidRPr="00C222FE">
        <w:br/>
        <w:t>The Rotterdam Rules: A Practical Annotation, Informa 2009, co-author</w:t>
      </w:r>
      <w:r w:rsidR="00C222FE" w:rsidRPr="00C222FE">
        <w:br/>
        <w:t xml:space="preserve">Bills of Lading in Export Trade, </w:t>
      </w:r>
      <w:proofErr w:type="spellStart"/>
      <w:r w:rsidR="00C222FE" w:rsidRPr="00C222FE">
        <w:t>Tottel</w:t>
      </w:r>
      <w:proofErr w:type="spellEnd"/>
      <w:r w:rsidR="00C222FE" w:rsidRPr="00C222FE">
        <w:t xml:space="preserve"> Publishing, third edition January 2009</w:t>
      </w:r>
      <w:r w:rsidR="00C222FE" w:rsidRPr="00C222FE">
        <w:br/>
        <w:t>Halsbury’s Laws of England, vol 4, Carriage and Carriers; November 2008</w:t>
      </w:r>
      <w:r w:rsidR="00C222FE" w:rsidRPr="00C222FE">
        <w:br/>
        <w:t>Halsbury’s Laws of England, vol 41, Sale of Goods and Supply of Services, 2005</w:t>
      </w:r>
      <w:r w:rsidR="00C222FE" w:rsidRPr="00C222FE">
        <w:br/>
        <w:t>Halsbury’s Laws of England, vol. 43(2), Shipping and Navigation, 1997, with Hardy</w:t>
      </w:r>
      <w:r w:rsidR="00C222FE" w:rsidRPr="00C222FE">
        <w:br/>
      </w:r>
      <w:r w:rsidR="00C222FE" w:rsidRPr="00C222FE">
        <w:br/>
        <w:t>Registered European Lawyer with Bar of England and Wales (2004) (Middle Temple)</w:t>
      </w:r>
      <w:r w:rsidR="00C222FE" w:rsidRPr="00C222FE">
        <w:br/>
      </w:r>
      <w:r w:rsidR="00C222FE" w:rsidRPr="00C222FE">
        <w:br/>
        <w:t>Advocate at the Bar in Malta (1978)</w:t>
      </w:r>
      <w:r w:rsidR="00C222FE" w:rsidRPr="00C222FE">
        <w:br/>
      </w:r>
      <w:r w:rsidR="00C222FE" w:rsidRPr="00C222FE">
        <w:br/>
        <w:t>Formerly Professor of Commercial Law at the University of Southampton (to 2011)</w:t>
      </w:r>
      <w:r w:rsidR="00C222FE" w:rsidRPr="00C222FE">
        <w:br/>
      </w:r>
      <w:r w:rsidR="00C222FE" w:rsidRPr="00C222FE">
        <w:br/>
        <w:t>Charles read Law at Oxford as a Rhodes Scholar (MA, 1983) (BA 1979) and in Malta (LLD 1977)</w:t>
      </w:r>
      <w:r w:rsidR="00C222FE" w:rsidRPr="00C222FE">
        <w:br/>
      </w:r>
    </w:p>
    <w:p w14:paraId="0EA568AC" w14:textId="77777777" w:rsidR="00C222FE" w:rsidRPr="00731BB2" w:rsidRDefault="00C222FE" w:rsidP="00C222FE">
      <w:pPr>
        <w:rPr>
          <w:b/>
          <w:bCs/>
        </w:rPr>
      </w:pPr>
      <w:r w:rsidRPr="00731BB2">
        <w:rPr>
          <w:b/>
          <w:bCs/>
        </w:rPr>
        <w:t>CONTACT</w:t>
      </w:r>
    </w:p>
    <w:p w14:paraId="7AAD4195" w14:textId="77777777" w:rsidR="00C222FE" w:rsidRPr="00C222FE" w:rsidRDefault="00C222FE" w:rsidP="00C222FE">
      <w:r w:rsidRPr="00C222FE">
        <w:t>Phone: +44 207 440 6900</w:t>
      </w:r>
      <w:r w:rsidRPr="00C222FE">
        <w:br/>
      </w:r>
      <w:r w:rsidRPr="00C222FE">
        <w:br/>
        <w:t>E-mail: </w:t>
      </w:r>
    </w:p>
    <w:tbl>
      <w:tblPr>
        <w:tblW w:w="4560" w:type="dxa"/>
        <w:tblCellMar>
          <w:left w:w="0" w:type="dxa"/>
          <w:right w:w="0" w:type="dxa"/>
        </w:tblCellMar>
        <w:tblLook w:val="04A0" w:firstRow="1" w:lastRow="0" w:firstColumn="1" w:lastColumn="0" w:noHBand="0" w:noVBand="1"/>
      </w:tblPr>
      <w:tblGrid>
        <w:gridCol w:w="4560"/>
      </w:tblGrid>
      <w:tr w:rsidR="00C222FE" w:rsidRPr="00C222FE" w14:paraId="6EB9E3A4" w14:textId="77777777">
        <w:trPr>
          <w:trHeight w:val="499"/>
        </w:trPr>
        <w:tc>
          <w:tcPr>
            <w:tcW w:w="4560" w:type="dxa"/>
            <w:vAlign w:val="center"/>
            <w:hideMark/>
          </w:tcPr>
          <w:p w14:paraId="63B9ECAF" w14:textId="77777777" w:rsidR="00C222FE" w:rsidRPr="00C222FE" w:rsidRDefault="00C222FE" w:rsidP="00C222FE">
            <w:hyperlink r:id="rId6" w:history="1">
              <w:r w:rsidRPr="00C222FE">
                <w:rPr>
                  <w:rStyle w:val="Hyperlink"/>
                </w:rPr>
                <w:t>cdebattista@36stone.co.uk</w:t>
              </w:r>
            </w:hyperlink>
          </w:p>
        </w:tc>
      </w:tr>
    </w:tbl>
    <w:p w14:paraId="6C5F0442" w14:textId="77777777" w:rsidR="00C222FE" w:rsidRPr="00C222FE" w:rsidRDefault="00C222FE" w:rsidP="00C222FE">
      <w:r w:rsidRPr="00C222FE">
        <w:t>Place of Residence: United Kingdom</w:t>
      </w:r>
      <w:r w:rsidRPr="00C222FE">
        <w:br/>
      </w:r>
      <w:r w:rsidRPr="00C222FE">
        <w:br/>
        <w:t>Nationality: British</w:t>
      </w:r>
    </w:p>
    <w:p w14:paraId="14335795" w14:textId="77777777" w:rsidR="00C222FE" w:rsidRPr="00C222FE" w:rsidRDefault="00C222FE" w:rsidP="00C222FE">
      <w:r w:rsidRPr="00C222FE">
        <w:t>Language(s): English</w:t>
      </w:r>
    </w:p>
    <w:p w14:paraId="10B3AF7F" w14:textId="77777777" w:rsidR="00C222FE" w:rsidRPr="00731BB2" w:rsidRDefault="00C222FE" w:rsidP="00C222FE">
      <w:pPr>
        <w:rPr>
          <w:b/>
          <w:bCs/>
        </w:rPr>
      </w:pPr>
      <w:r w:rsidRPr="00731BB2">
        <w:rPr>
          <w:b/>
          <w:bCs/>
        </w:rPr>
        <w:t>MAIN PRACTICE AREAS</w:t>
      </w:r>
    </w:p>
    <w:p w14:paraId="58604FBC" w14:textId="022CB6B2" w:rsidR="00C222FE" w:rsidRPr="00C222FE" w:rsidRDefault="00B357FE" w:rsidP="00731BB2">
      <w:pPr>
        <w:pStyle w:val="ListParagraph"/>
        <w:numPr>
          <w:ilvl w:val="0"/>
          <w:numId w:val="1"/>
        </w:numPr>
      </w:pPr>
      <w:r>
        <w:t>Charterparties</w:t>
      </w:r>
    </w:p>
    <w:p w14:paraId="01DFCCC5" w14:textId="5457E2E3" w:rsidR="00C222FE" w:rsidRPr="00C222FE" w:rsidRDefault="00B357FE" w:rsidP="00731BB2">
      <w:pPr>
        <w:pStyle w:val="ListParagraph"/>
        <w:numPr>
          <w:ilvl w:val="0"/>
          <w:numId w:val="1"/>
        </w:numPr>
      </w:pPr>
      <w:r>
        <w:t xml:space="preserve">Ship Sale &amp; Purchase </w:t>
      </w:r>
    </w:p>
    <w:p w14:paraId="01BF6382" w14:textId="29859725" w:rsidR="00C222FE" w:rsidRDefault="00B357FE" w:rsidP="00731BB2">
      <w:pPr>
        <w:pStyle w:val="ListParagraph"/>
        <w:numPr>
          <w:ilvl w:val="0"/>
          <w:numId w:val="1"/>
        </w:numPr>
      </w:pPr>
      <w:r>
        <w:t xml:space="preserve">Cargo Loss &amp; Damage </w:t>
      </w:r>
    </w:p>
    <w:p w14:paraId="4B61FE7D" w14:textId="5AD9E0BF" w:rsidR="00B357FE" w:rsidRDefault="00B357FE" w:rsidP="00731BB2">
      <w:pPr>
        <w:pStyle w:val="ListParagraph"/>
        <w:numPr>
          <w:ilvl w:val="0"/>
          <w:numId w:val="1"/>
        </w:numPr>
      </w:pPr>
      <w:r>
        <w:t xml:space="preserve">Commodities </w:t>
      </w:r>
    </w:p>
    <w:p w14:paraId="498770EB" w14:textId="37FBDB46" w:rsidR="00B357FE" w:rsidRPr="00C222FE" w:rsidRDefault="00B357FE" w:rsidP="00731BB2">
      <w:pPr>
        <w:pStyle w:val="ListParagraph"/>
        <w:numPr>
          <w:ilvl w:val="0"/>
          <w:numId w:val="1"/>
        </w:numPr>
      </w:pPr>
      <w:r>
        <w:t xml:space="preserve">Letters of Credit </w:t>
      </w:r>
    </w:p>
    <w:p w14:paraId="22D71EAD" w14:textId="7D354322" w:rsidR="00BF19ED" w:rsidRDefault="00C222FE" w:rsidP="00C222FE">
      <w:r w:rsidRPr="00731BB2">
        <w:rPr>
          <w:b/>
          <w:bCs/>
        </w:rPr>
        <w:lastRenderedPageBreak/>
        <w:t xml:space="preserve">PROFESSIONAL </w:t>
      </w:r>
      <w:proofErr w:type="spellStart"/>
      <w:r w:rsidRPr="00731BB2">
        <w:rPr>
          <w:b/>
          <w:bCs/>
        </w:rPr>
        <w:t>APPOINTMENTS</w:t>
      </w:r>
      <w:r w:rsidR="00BF19ED">
        <w:t>Fellow</w:t>
      </w:r>
      <w:proofErr w:type="spellEnd"/>
      <w:r w:rsidR="00BF19ED">
        <w:t xml:space="preserve"> </w:t>
      </w:r>
      <w:r w:rsidRPr="00C222FE">
        <w:t xml:space="preserve">of the Chartered Institute of Arbitrators </w:t>
      </w:r>
      <w:r w:rsidRPr="00C222FE">
        <w:br/>
      </w:r>
      <w:r w:rsidRPr="00C222FE">
        <w:br/>
        <w:t>Member of GAFTA </w:t>
      </w:r>
      <w:r w:rsidRPr="00C222FE">
        <w:br/>
      </w:r>
      <w:r w:rsidRPr="00C222FE">
        <w:br/>
        <w:t>Member of FOSFA </w:t>
      </w:r>
    </w:p>
    <w:p w14:paraId="44225D68" w14:textId="42FCAEC1" w:rsidR="00C222FE" w:rsidRDefault="00BF19ED" w:rsidP="00C222FE">
      <w:r>
        <w:t xml:space="preserve">Member of the Baltic Exchange </w:t>
      </w:r>
      <w:r w:rsidR="00C222FE" w:rsidRPr="00C222FE">
        <w:br/>
      </w:r>
      <w:r w:rsidR="00C222FE" w:rsidRPr="00C222FE">
        <w:br/>
        <w:t>Supporting Member of the LMAA</w:t>
      </w:r>
    </w:p>
    <w:p w14:paraId="007FA7B4" w14:textId="24066DE2" w:rsidR="004C3124" w:rsidRDefault="004C3124" w:rsidP="00C222FE">
      <w:r>
        <w:t>Member of SCMA</w:t>
      </w:r>
    </w:p>
    <w:p w14:paraId="0C6F5A42" w14:textId="1EE8F2F3" w:rsidR="004C3124" w:rsidRPr="00C222FE" w:rsidRDefault="004C3124" w:rsidP="00C222FE">
      <w:r>
        <w:t xml:space="preserve">Member of HKIAC </w:t>
      </w:r>
    </w:p>
    <w:p w14:paraId="75663E3D" w14:textId="77777777" w:rsidR="00C222FE" w:rsidRPr="00C222FE" w:rsidRDefault="00C222FE" w:rsidP="00C222FE">
      <w:r w:rsidRPr="00C222FE">
        <w:t>ADMISSIONS</w:t>
      </w:r>
    </w:p>
    <w:p w14:paraId="6E6E93BB" w14:textId="77777777" w:rsidR="00C222FE" w:rsidRPr="00C222FE" w:rsidRDefault="00C222FE" w:rsidP="00C222FE">
      <w:r w:rsidRPr="00C222FE">
        <w:t>  ENGLAND AND WALES</w:t>
      </w:r>
    </w:p>
    <w:p w14:paraId="23266A97" w14:textId="77777777" w:rsidR="00C222FE" w:rsidRPr="00C222FE" w:rsidRDefault="00C222FE" w:rsidP="00C222FE">
      <w:r w:rsidRPr="00C222FE">
        <w:t>EDUCATION</w:t>
      </w:r>
    </w:p>
    <w:p w14:paraId="13D3EDDD" w14:textId="401CFA6F" w:rsidR="00C222FE" w:rsidRDefault="00C222FE" w:rsidP="00C222FE">
      <w:r w:rsidRPr="00C222FE">
        <w:t>LL.D. University of Malta (1977)</w:t>
      </w:r>
      <w:r w:rsidRPr="00C222FE">
        <w:br/>
      </w:r>
      <w:r w:rsidRPr="00C222FE">
        <w:br/>
        <w:t>B.A. (Oxon) in Jurisprudence (1979)</w:t>
      </w:r>
      <w:r w:rsidRPr="00C222FE">
        <w:br/>
      </w:r>
      <w:r w:rsidRPr="00C222FE">
        <w:br/>
        <w:t>Rhodes Scholar at St Edmund’s Hall, Oxford 1977-1979</w:t>
      </w:r>
      <w:r w:rsidRPr="00C222FE">
        <w:br/>
      </w:r>
      <w:r w:rsidRPr="00C222FE">
        <w:br/>
        <w:t>M.A. (Oxon) (1983)</w:t>
      </w:r>
      <w:r w:rsidRPr="00C222FE">
        <w:br/>
      </w:r>
      <w:r w:rsidRPr="00C222FE">
        <w:br/>
      </w:r>
    </w:p>
    <w:p w14:paraId="5C4270E5" w14:textId="795A5A5D" w:rsidR="004C3124" w:rsidRDefault="004C3124" w:rsidP="00C222FE">
      <w:r>
        <w:t xml:space="preserve">Testimonials: </w:t>
      </w:r>
    </w:p>
    <w:p w14:paraId="6676B92C" w14:textId="77777777" w:rsidR="00053CFD" w:rsidRPr="00053CFD" w:rsidRDefault="00053CFD" w:rsidP="00053CFD">
      <w:pPr>
        <w:rPr>
          <w:b/>
          <w:bCs/>
        </w:rPr>
      </w:pPr>
      <w:r w:rsidRPr="00053CFD">
        <w:t xml:space="preserve">Charles is academically excellent with great commercial acumen. </w:t>
      </w:r>
      <w:r w:rsidRPr="00053CFD">
        <w:rPr>
          <w:b/>
          <w:bCs/>
        </w:rPr>
        <w:t>Chambers UK, 2026</w:t>
      </w:r>
    </w:p>
    <w:p w14:paraId="73AAABEA" w14:textId="77777777" w:rsidR="00053CFD" w:rsidRPr="00053CFD" w:rsidRDefault="00053CFD" w:rsidP="00053CFD">
      <w:r w:rsidRPr="00053CFD">
        <w:t xml:space="preserve">Charles gives clear advice on complex issues of law, and is enthusiastic about discussing legal points with the legal team and client. </w:t>
      </w:r>
      <w:r w:rsidRPr="00053CFD">
        <w:rPr>
          <w:b/>
          <w:bCs/>
        </w:rPr>
        <w:t>Chambers UK, 2026</w:t>
      </w:r>
    </w:p>
    <w:p w14:paraId="75923587" w14:textId="77777777" w:rsidR="00053CFD" w:rsidRPr="00053CFD" w:rsidRDefault="00053CFD" w:rsidP="00053CFD">
      <w:pPr>
        <w:rPr>
          <w:b/>
          <w:bCs/>
        </w:rPr>
      </w:pPr>
      <w:r w:rsidRPr="00053CFD">
        <w:t xml:space="preserve">Charles is one of the nicest people at the Bar and brilliant at what he does. </w:t>
      </w:r>
      <w:r w:rsidRPr="00053CFD">
        <w:rPr>
          <w:b/>
          <w:bCs/>
        </w:rPr>
        <w:t>Chambers UK, 2026</w:t>
      </w:r>
    </w:p>
    <w:p w14:paraId="051C7043" w14:textId="77777777" w:rsidR="00053CFD" w:rsidRPr="00053CFD" w:rsidRDefault="00053CFD" w:rsidP="00053CFD">
      <w:pPr>
        <w:rPr>
          <w:b/>
          <w:bCs/>
        </w:rPr>
      </w:pPr>
      <w:r w:rsidRPr="00053CFD">
        <w:t xml:space="preserve">One of the qualities clients most value is his creativity – he consistently finds innovative ways to navigate challenges that might initially seem insurmountable. </w:t>
      </w:r>
      <w:r w:rsidRPr="00053CFD">
        <w:rPr>
          <w:b/>
          <w:bCs/>
        </w:rPr>
        <w:t>Legal 500, 2026</w:t>
      </w:r>
    </w:p>
    <w:p w14:paraId="0A578E53" w14:textId="77777777" w:rsidR="004C3124" w:rsidRPr="00C222FE" w:rsidRDefault="004C3124" w:rsidP="00C222FE"/>
    <w:p w14:paraId="220D7B2A" w14:textId="77777777" w:rsidR="00C222FE" w:rsidRDefault="00C222FE"/>
    <w:sectPr w:rsidR="00C222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57A16"/>
    <w:multiLevelType w:val="hybridMultilevel"/>
    <w:tmpl w:val="D6E6E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1654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FE"/>
    <w:rsid w:val="00053CFD"/>
    <w:rsid w:val="00165878"/>
    <w:rsid w:val="00172C5A"/>
    <w:rsid w:val="00406284"/>
    <w:rsid w:val="004506F6"/>
    <w:rsid w:val="004C3124"/>
    <w:rsid w:val="005D116E"/>
    <w:rsid w:val="005D1AE8"/>
    <w:rsid w:val="00710185"/>
    <w:rsid w:val="00731BB2"/>
    <w:rsid w:val="00944B90"/>
    <w:rsid w:val="009B64E7"/>
    <w:rsid w:val="00B357FE"/>
    <w:rsid w:val="00B76461"/>
    <w:rsid w:val="00BE1F07"/>
    <w:rsid w:val="00BF19ED"/>
    <w:rsid w:val="00C222FE"/>
    <w:rsid w:val="00D11240"/>
    <w:rsid w:val="00DA2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2D36"/>
  <w15:chartTrackingRefBased/>
  <w15:docId w15:val="{936F3CEB-9354-4933-863E-8A287C7F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2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2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2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2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2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2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2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2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2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2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2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2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2FE"/>
    <w:rPr>
      <w:rFonts w:eastAsiaTheme="majorEastAsia" w:cstheme="majorBidi"/>
      <w:color w:val="272727" w:themeColor="text1" w:themeTint="D8"/>
    </w:rPr>
  </w:style>
  <w:style w:type="paragraph" w:styleId="Title">
    <w:name w:val="Title"/>
    <w:basedOn w:val="Normal"/>
    <w:next w:val="Normal"/>
    <w:link w:val="TitleChar"/>
    <w:uiPriority w:val="10"/>
    <w:qFormat/>
    <w:rsid w:val="00C22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2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2FE"/>
    <w:pPr>
      <w:spacing w:before="160"/>
      <w:jc w:val="center"/>
    </w:pPr>
    <w:rPr>
      <w:i/>
      <w:iCs/>
      <w:color w:val="404040" w:themeColor="text1" w:themeTint="BF"/>
    </w:rPr>
  </w:style>
  <w:style w:type="character" w:customStyle="1" w:styleId="QuoteChar">
    <w:name w:val="Quote Char"/>
    <w:basedOn w:val="DefaultParagraphFont"/>
    <w:link w:val="Quote"/>
    <w:uiPriority w:val="29"/>
    <w:rsid w:val="00C222FE"/>
    <w:rPr>
      <w:i/>
      <w:iCs/>
      <w:color w:val="404040" w:themeColor="text1" w:themeTint="BF"/>
    </w:rPr>
  </w:style>
  <w:style w:type="paragraph" w:styleId="ListParagraph">
    <w:name w:val="List Paragraph"/>
    <w:basedOn w:val="Normal"/>
    <w:uiPriority w:val="34"/>
    <w:qFormat/>
    <w:rsid w:val="00C222FE"/>
    <w:pPr>
      <w:ind w:left="720"/>
      <w:contextualSpacing/>
    </w:pPr>
  </w:style>
  <w:style w:type="character" w:styleId="IntenseEmphasis">
    <w:name w:val="Intense Emphasis"/>
    <w:basedOn w:val="DefaultParagraphFont"/>
    <w:uiPriority w:val="21"/>
    <w:qFormat/>
    <w:rsid w:val="00C222FE"/>
    <w:rPr>
      <w:i/>
      <w:iCs/>
      <w:color w:val="0F4761" w:themeColor="accent1" w:themeShade="BF"/>
    </w:rPr>
  </w:style>
  <w:style w:type="paragraph" w:styleId="IntenseQuote">
    <w:name w:val="Intense Quote"/>
    <w:basedOn w:val="Normal"/>
    <w:next w:val="Normal"/>
    <w:link w:val="IntenseQuoteChar"/>
    <w:uiPriority w:val="30"/>
    <w:qFormat/>
    <w:rsid w:val="00C22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2FE"/>
    <w:rPr>
      <w:i/>
      <w:iCs/>
      <w:color w:val="0F4761" w:themeColor="accent1" w:themeShade="BF"/>
    </w:rPr>
  </w:style>
  <w:style w:type="character" w:styleId="IntenseReference">
    <w:name w:val="Intense Reference"/>
    <w:basedOn w:val="DefaultParagraphFont"/>
    <w:uiPriority w:val="32"/>
    <w:qFormat/>
    <w:rsid w:val="00C222FE"/>
    <w:rPr>
      <w:b/>
      <w:bCs/>
      <w:smallCaps/>
      <w:color w:val="0F4761" w:themeColor="accent1" w:themeShade="BF"/>
      <w:spacing w:val="5"/>
    </w:rPr>
  </w:style>
  <w:style w:type="character" w:styleId="Hyperlink">
    <w:name w:val="Hyperlink"/>
    <w:basedOn w:val="DefaultParagraphFont"/>
    <w:uiPriority w:val="99"/>
    <w:unhideWhenUsed/>
    <w:rsid w:val="00C222FE"/>
    <w:rPr>
      <w:color w:val="467886" w:themeColor="hyperlink"/>
      <w:u w:val="single"/>
    </w:rPr>
  </w:style>
  <w:style w:type="character" w:styleId="UnresolvedMention">
    <w:name w:val="Unresolved Mention"/>
    <w:basedOn w:val="DefaultParagraphFont"/>
    <w:uiPriority w:val="99"/>
    <w:semiHidden/>
    <w:unhideWhenUsed/>
    <w:rsid w:val="00C222FE"/>
    <w:rPr>
      <w:color w:val="605E5C"/>
      <w:shd w:val="clear" w:color="auto" w:fill="E1DFDD"/>
    </w:rPr>
  </w:style>
  <w:style w:type="paragraph" w:styleId="Revision">
    <w:name w:val="Revision"/>
    <w:hidden/>
    <w:uiPriority w:val="99"/>
    <w:semiHidden/>
    <w:rsid w:val="00C222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debattista@36stone.co.uk" TargetMode="External"/><Relationship Id="rId5" Type="http://schemas.openxmlformats.org/officeDocument/2006/relationships/hyperlink" Target="https://www.amazon.co.uk/s/ref=dp_byline_sr_book_2?ie=UTF8&amp;field-author=Francis+Hornyold-Strickland&amp;text=Francis+Hornyold-Strickland&amp;sort=relevancerank&amp;search-alias=books-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 Percival</dc:creator>
  <cp:keywords/>
  <dc:description/>
  <cp:lastModifiedBy>Candi Percival</cp:lastModifiedBy>
  <cp:revision>2</cp:revision>
  <dcterms:created xsi:type="dcterms:W3CDTF">2026-06-10T08:53:00Z</dcterms:created>
  <dcterms:modified xsi:type="dcterms:W3CDTF">2026-06-10T08:53:00Z</dcterms:modified>
</cp:coreProperties>
</file>