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E355" w14:textId="7683A50F" w:rsidR="00762B0A" w:rsidRDefault="00762B0A" w:rsidP="00762B0A">
      <w:pPr>
        <w:rPr>
          <w:rFonts w:ascii="Arial" w:hAnsi="Arial" w:cs="Arial"/>
          <w:noProof/>
          <w:sz w:val="20"/>
          <w:szCs w:val="20"/>
          <w:lang w:eastAsia="en-SG"/>
        </w:rPr>
      </w:pPr>
    </w:p>
    <w:p w14:paraId="3360354C" w14:textId="7257A0DD" w:rsidR="002049A2" w:rsidRPr="00B80829" w:rsidRDefault="002049A2" w:rsidP="00762B0A">
      <w:pPr>
        <w:rPr>
          <w:rFonts w:ascii="Arial" w:hAnsi="Arial" w:cs="Arial"/>
          <w:noProof/>
          <w:sz w:val="20"/>
          <w:szCs w:val="20"/>
          <w:lang w:eastAsia="en-S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70"/>
        <w:gridCol w:w="5639"/>
      </w:tblGrid>
      <w:tr w:rsidR="0096758E" w:rsidRPr="00B80829" w14:paraId="0D262A6B" w14:textId="77777777" w:rsidTr="00AD0BBC">
        <w:tc>
          <w:tcPr>
            <w:tcW w:w="2405" w:type="dxa"/>
            <w:vMerge w:val="restart"/>
          </w:tcPr>
          <w:p w14:paraId="325B2399" w14:textId="1C71698A" w:rsidR="0096758E" w:rsidRPr="00B80829" w:rsidRDefault="00AD0BBC" w:rsidP="00A536D0">
            <w:pPr>
              <w:spacing w:before="60" w:after="60"/>
              <w:rPr>
                <w:rFonts w:ascii="Arial" w:hAnsi="Arial" w:cs="Arial"/>
                <w:noProof/>
                <w:sz w:val="20"/>
                <w:szCs w:val="20"/>
                <w:lang w:eastAsia="en-SG"/>
              </w:rPr>
            </w:pPr>
            <w:r>
              <w:rPr>
                <w:rFonts w:ascii="Arial" w:hAnsi="Arial" w:cs="Arial"/>
                <w:noProof/>
                <w:sz w:val="20"/>
                <w:szCs w:val="20"/>
              </w:rPr>
              <w:drawing>
                <wp:anchor distT="0" distB="0" distL="114300" distR="114300" simplePos="0" relativeHeight="251659776" behindDoc="0" locked="0" layoutInCell="1" allowOverlap="1" wp14:anchorId="04ADB7B6" wp14:editId="004EA3F8">
                  <wp:simplePos x="0" y="0"/>
                  <wp:positionH relativeFrom="column">
                    <wp:posOffset>-173990</wp:posOffset>
                  </wp:positionH>
                  <wp:positionV relativeFrom="paragraph">
                    <wp:posOffset>167005</wp:posOffset>
                  </wp:positionV>
                  <wp:extent cx="1636347" cy="1701800"/>
                  <wp:effectExtent l="0" t="0" r="2540" b="0"/>
                  <wp:wrapNone/>
                  <wp:docPr id="123112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27168" name="Picture 12311271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6347" cy="1701800"/>
                          </a:xfrm>
                          <a:prstGeom prst="rect">
                            <a:avLst/>
                          </a:prstGeom>
                        </pic:spPr>
                      </pic:pic>
                    </a:graphicData>
                  </a:graphic>
                  <wp14:sizeRelH relativeFrom="page">
                    <wp14:pctWidth>0</wp14:pctWidth>
                  </wp14:sizeRelH>
                  <wp14:sizeRelV relativeFrom="page">
                    <wp14:pctHeight>0</wp14:pctHeight>
                  </wp14:sizeRelV>
                </wp:anchor>
              </w:drawing>
            </w:r>
          </w:p>
          <w:p w14:paraId="6D7177C0" w14:textId="04A9894F" w:rsidR="0096758E" w:rsidRPr="00B80829" w:rsidRDefault="0096758E" w:rsidP="00A536D0">
            <w:pPr>
              <w:spacing w:before="60" w:after="60"/>
              <w:rPr>
                <w:rFonts w:ascii="Arial" w:hAnsi="Arial" w:cs="Arial"/>
                <w:noProof/>
                <w:sz w:val="20"/>
                <w:szCs w:val="20"/>
                <w:lang w:eastAsia="en-SG"/>
              </w:rPr>
            </w:pPr>
          </w:p>
          <w:p w14:paraId="350BF26B" w14:textId="0EC95BC8" w:rsidR="0096758E" w:rsidRPr="00B80829" w:rsidRDefault="0096758E" w:rsidP="00A536D0">
            <w:pPr>
              <w:spacing w:before="60" w:after="60"/>
              <w:rPr>
                <w:rFonts w:ascii="Arial" w:hAnsi="Arial" w:cs="Arial"/>
                <w:noProof/>
                <w:sz w:val="20"/>
                <w:szCs w:val="20"/>
                <w:lang w:eastAsia="en-SG"/>
              </w:rPr>
            </w:pPr>
          </w:p>
          <w:p w14:paraId="265FBB7A" w14:textId="77777777" w:rsidR="0096758E" w:rsidRPr="00B80829" w:rsidRDefault="0096758E" w:rsidP="00A536D0">
            <w:pPr>
              <w:spacing w:before="60" w:after="60"/>
              <w:rPr>
                <w:rFonts w:ascii="Arial" w:hAnsi="Arial" w:cs="Arial"/>
                <w:noProof/>
                <w:sz w:val="20"/>
                <w:szCs w:val="20"/>
                <w:lang w:eastAsia="en-SG"/>
              </w:rPr>
            </w:pPr>
          </w:p>
          <w:p w14:paraId="41A81189" w14:textId="77777777" w:rsidR="0096758E" w:rsidRPr="00B80829" w:rsidRDefault="0096758E" w:rsidP="00A536D0">
            <w:pPr>
              <w:spacing w:before="60" w:after="60"/>
              <w:jc w:val="center"/>
              <w:rPr>
                <w:rFonts w:ascii="Arial" w:hAnsi="Arial" w:cs="Arial"/>
                <w:noProof/>
                <w:sz w:val="20"/>
                <w:szCs w:val="20"/>
                <w:lang w:eastAsia="en-SG"/>
              </w:rPr>
            </w:pPr>
            <w:r w:rsidRPr="00F90E93">
              <w:rPr>
                <w:rFonts w:ascii="Arial" w:hAnsi="Arial" w:cs="Arial"/>
                <w:b/>
                <w:bCs/>
                <w:noProof/>
                <w:sz w:val="20"/>
                <w:szCs w:val="20"/>
                <w:lang w:eastAsia="en-SG"/>
              </w:rPr>
              <w:t>Photo</w:t>
            </w:r>
          </w:p>
        </w:tc>
        <w:tc>
          <w:tcPr>
            <w:tcW w:w="2270" w:type="dxa"/>
          </w:tcPr>
          <w:p w14:paraId="67B582EB" w14:textId="77777777" w:rsidR="0096758E" w:rsidRPr="00B80829" w:rsidRDefault="0096758E" w:rsidP="00A536D0">
            <w:pPr>
              <w:spacing w:before="60" w:after="60"/>
              <w:rPr>
                <w:rFonts w:ascii="Arial" w:hAnsi="Arial" w:cs="Arial"/>
                <w:noProof/>
                <w:sz w:val="20"/>
                <w:szCs w:val="20"/>
                <w:lang w:eastAsia="en-SG"/>
              </w:rPr>
            </w:pPr>
            <w:r w:rsidRPr="00B80829">
              <w:rPr>
                <w:rFonts w:ascii="Arial" w:hAnsi="Arial" w:cs="Arial"/>
                <w:b/>
                <w:sz w:val="20"/>
                <w:szCs w:val="20"/>
                <w:u w:val="single"/>
                <w:lang w:val="en-GB"/>
              </w:rPr>
              <w:t>Surname</w:t>
            </w:r>
            <w:r w:rsidRPr="00CE1C79">
              <w:rPr>
                <w:rFonts w:ascii="Arial" w:hAnsi="Arial" w:cs="Arial"/>
                <w:b/>
                <w:sz w:val="20"/>
                <w:szCs w:val="20"/>
                <w:lang w:val="en-GB"/>
              </w:rPr>
              <w:t>,</w:t>
            </w:r>
            <w:r w:rsidRPr="00B80829">
              <w:rPr>
                <w:rFonts w:ascii="Arial" w:hAnsi="Arial" w:cs="Arial"/>
                <w:b/>
                <w:sz w:val="20"/>
                <w:szCs w:val="20"/>
                <w:lang w:val="en-GB"/>
              </w:rPr>
              <w:t xml:space="preserve"> First name</w:t>
            </w:r>
          </w:p>
        </w:tc>
        <w:tc>
          <w:tcPr>
            <w:tcW w:w="5639" w:type="dxa"/>
          </w:tcPr>
          <w:p w14:paraId="5B44848A" w14:textId="77777777" w:rsidR="0096758E" w:rsidRDefault="00E15C08" w:rsidP="00A536D0">
            <w:pPr>
              <w:spacing w:before="60" w:after="60"/>
              <w:rPr>
                <w:rFonts w:ascii="Arial" w:hAnsi="Arial" w:cs="Arial"/>
                <w:noProof/>
                <w:sz w:val="20"/>
                <w:szCs w:val="20"/>
                <w:lang w:eastAsia="en-SG"/>
              </w:rPr>
            </w:pPr>
            <w:r w:rsidRPr="00E15C08">
              <w:rPr>
                <w:rFonts w:ascii="Arial" w:hAnsi="Arial" w:cs="Arial"/>
                <w:noProof/>
                <w:sz w:val="20"/>
                <w:szCs w:val="20"/>
                <w:u w:val="single"/>
                <w:lang w:eastAsia="en-SG"/>
              </w:rPr>
              <w:t>Tan</w:t>
            </w:r>
            <w:r>
              <w:rPr>
                <w:rFonts w:ascii="Arial" w:hAnsi="Arial" w:cs="Arial"/>
                <w:noProof/>
                <w:sz w:val="20"/>
                <w:szCs w:val="20"/>
                <w:lang w:eastAsia="en-SG"/>
              </w:rPr>
              <w:t>, Kendall</w:t>
            </w:r>
          </w:p>
          <w:p w14:paraId="396C5C85" w14:textId="647EA596" w:rsidR="00AD0BBC" w:rsidRPr="00B80829" w:rsidRDefault="00AD0BBC" w:rsidP="00A536D0">
            <w:pPr>
              <w:spacing w:before="60" w:after="60"/>
              <w:rPr>
                <w:rFonts w:ascii="Arial" w:hAnsi="Arial" w:cs="Arial"/>
                <w:noProof/>
                <w:sz w:val="20"/>
                <w:szCs w:val="20"/>
                <w:lang w:eastAsia="en-SG"/>
              </w:rPr>
            </w:pPr>
          </w:p>
        </w:tc>
      </w:tr>
      <w:tr w:rsidR="0096758E" w:rsidRPr="00B80829" w14:paraId="6F49A432" w14:textId="77777777" w:rsidTr="00AD0BBC">
        <w:trPr>
          <w:trHeight w:val="705"/>
        </w:trPr>
        <w:tc>
          <w:tcPr>
            <w:tcW w:w="2405" w:type="dxa"/>
            <w:vMerge/>
          </w:tcPr>
          <w:p w14:paraId="0C360505" w14:textId="77777777" w:rsidR="0096758E" w:rsidRPr="00B80829" w:rsidRDefault="0096758E" w:rsidP="00A536D0">
            <w:pPr>
              <w:spacing w:before="60" w:after="60"/>
              <w:rPr>
                <w:rFonts w:ascii="Arial" w:hAnsi="Arial" w:cs="Arial"/>
                <w:noProof/>
                <w:sz w:val="20"/>
                <w:szCs w:val="20"/>
                <w:lang w:eastAsia="en-SG"/>
              </w:rPr>
            </w:pPr>
          </w:p>
        </w:tc>
        <w:tc>
          <w:tcPr>
            <w:tcW w:w="2270" w:type="dxa"/>
          </w:tcPr>
          <w:p w14:paraId="20E2C606" w14:textId="4531A41B" w:rsidR="0096758E" w:rsidRPr="00B80829" w:rsidRDefault="0096758E" w:rsidP="00A536D0">
            <w:pPr>
              <w:spacing w:before="60" w:after="60"/>
              <w:rPr>
                <w:rFonts w:ascii="Arial" w:hAnsi="Arial" w:cs="Arial"/>
                <w:noProof/>
                <w:sz w:val="20"/>
                <w:szCs w:val="20"/>
                <w:lang w:eastAsia="en-SG"/>
              </w:rPr>
            </w:pPr>
            <w:r w:rsidRPr="00B80829">
              <w:rPr>
                <w:rFonts w:ascii="Arial" w:hAnsi="Arial" w:cs="Arial"/>
                <w:b/>
                <w:sz w:val="20"/>
                <w:szCs w:val="20"/>
              </w:rPr>
              <w:t>Address</w:t>
            </w:r>
          </w:p>
        </w:tc>
        <w:tc>
          <w:tcPr>
            <w:tcW w:w="5639" w:type="dxa"/>
          </w:tcPr>
          <w:p w14:paraId="2FC6B498" w14:textId="77777777" w:rsidR="00E15C08" w:rsidRPr="00E15C08" w:rsidRDefault="00E15C08" w:rsidP="00E15C08">
            <w:pPr>
              <w:spacing w:before="60" w:after="60"/>
              <w:rPr>
                <w:rFonts w:ascii="Arial" w:hAnsi="Arial" w:cs="Arial"/>
                <w:noProof/>
                <w:sz w:val="20"/>
                <w:szCs w:val="20"/>
                <w:lang w:eastAsia="en-SG"/>
              </w:rPr>
            </w:pPr>
            <w:r w:rsidRPr="00E15C08">
              <w:rPr>
                <w:rFonts w:ascii="Arial" w:hAnsi="Arial" w:cs="Arial"/>
                <w:noProof/>
                <w:sz w:val="20"/>
                <w:szCs w:val="20"/>
                <w:lang w:eastAsia="en-SG"/>
              </w:rPr>
              <w:t>RAJAH &amp; TANN SINGAPORE LLP</w:t>
            </w:r>
          </w:p>
          <w:p w14:paraId="3A1BACFB" w14:textId="77777777" w:rsidR="0096758E" w:rsidRDefault="00E15C08" w:rsidP="00E15C08">
            <w:pPr>
              <w:spacing w:before="60" w:after="60"/>
              <w:rPr>
                <w:rFonts w:ascii="Arial" w:hAnsi="Arial" w:cs="Arial"/>
                <w:noProof/>
                <w:sz w:val="20"/>
                <w:szCs w:val="20"/>
                <w:lang w:eastAsia="en-SG"/>
              </w:rPr>
            </w:pPr>
            <w:r w:rsidRPr="00E15C08">
              <w:rPr>
                <w:rFonts w:ascii="Arial" w:hAnsi="Arial" w:cs="Arial"/>
                <w:noProof/>
                <w:sz w:val="20"/>
                <w:szCs w:val="20"/>
                <w:lang w:eastAsia="en-SG"/>
              </w:rPr>
              <w:t>9 Straits View #06-07, Marina One West Tower, Singapore 018937</w:t>
            </w:r>
          </w:p>
          <w:p w14:paraId="36D39D63" w14:textId="750B09DA" w:rsidR="00AD0BBC" w:rsidRPr="00B80829" w:rsidRDefault="00AD0BBC" w:rsidP="00E15C08">
            <w:pPr>
              <w:spacing w:before="60" w:after="60"/>
              <w:rPr>
                <w:rFonts w:ascii="Arial" w:hAnsi="Arial" w:cs="Arial"/>
                <w:noProof/>
                <w:sz w:val="20"/>
                <w:szCs w:val="20"/>
                <w:lang w:eastAsia="en-SG"/>
              </w:rPr>
            </w:pPr>
          </w:p>
        </w:tc>
      </w:tr>
      <w:tr w:rsidR="002F0274" w:rsidRPr="00B80829" w14:paraId="4521002A" w14:textId="77777777" w:rsidTr="00AD0BBC">
        <w:trPr>
          <w:trHeight w:val="277"/>
        </w:trPr>
        <w:tc>
          <w:tcPr>
            <w:tcW w:w="2405" w:type="dxa"/>
            <w:vMerge/>
          </w:tcPr>
          <w:p w14:paraId="772D0C12" w14:textId="77777777" w:rsidR="002F0274" w:rsidRPr="00B80829" w:rsidRDefault="002F0274" w:rsidP="00A536D0">
            <w:pPr>
              <w:spacing w:before="60" w:after="60"/>
              <w:rPr>
                <w:rFonts w:ascii="Arial" w:hAnsi="Arial" w:cs="Arial"/>
                <w:noProof/>
                <w:sz w:val="20"/>
                <w:szCs w:val="20"/>
                <w:lang w:eastAsia="en-SG"/>
              </w:rPr>
            </w:pPr>
          </w:p>
        </w:tc>
        <w:tc>
          <w:tcPr>
            <w:tcW w:w="2270" w:type="dxa"/>
          </w:tcPr>
          <w:p w14:paraId="1634FCC3" w14:textId="1FAE8E99" w:rsidR="002F0274" w:rsidRPr="00B80829" w:rsidRDefault="002F0274" w:rsidP="00A536D0">
            <w:pPr>
              <w:spacing w:before="60" w:after="60"/>
              <w:rPr>
                <w:rFonts w:ascii="Arial" w:hAnsi="Arial" w:cs="Arial"/>
                <w:noProof/>
                <w:sz w:val="20"/>
                <w:szCs w:val="20"/>
                <w:lang w:eastAsia="en-SG"/>
              </w:rPr>
            </w:pPr>
            <w:r w:rsidRPr="00B80829">
              <w:rPr>
                <w:rFonts w:ascii="Arial" w:hAnsi="Arial" w:cs="Arial"/>
                <w:b/>
                <w:sz w:val="20"/>
                <w:szCs w:val="20"/>
              </w:rPr>
              <w:t>Telephone</w:t>
            </w:r>
          </w:p>
        </w:tc>
        <w:tc>
          <w:tcPr>
            <w:tcW w:w="5639" w:type="dxa"/>
          </w:tcPr>
          <w:p w14:paraId="2EC5E1CC" w14:textId="77777777" w:rsidR="002F0274" w:rsidRDefault="00E15C08" w:rsidP="00A536D0">
            <w:pPr>
              <w:spacing w:before="60" w:after="60"/>
              <w:rPr>
                <w:rFonts w:ascii="Arial" w:hAnsi="Arial" w:cs="Arial"/>
                <w:noProof/>
                <w:sz w:val="20"/>
                <w:szCs w:val="20"/>
                <w:lang w:eastAsia="en-SG"/>
              </w:rPr>
            </w:pPr>
            <w:r w:rsidRPr="00E15C08">
              <w:rPr>
                <w:rFonts w:ascii="Arial" w:hAnsi="Arial" w:cs="Arial"/>
                <w:noProof/>
                <w:sz w:val="20"/>
                <w:szCs w:val="20"/>
                <w:lang w:eastAsia="en-SG"/>
              </w:rPr>
              <w:t>+65 62320634</w:t>
            </w:r>
          </w:p>
          <w:p w14:paraId="09D17FD0" w14:textId="66D37427" w:rsidR="00AD0BBC" w:rsidRPr="00B80829" w:rsidRDefault="00AD0BBC" w:rsidP="00A536D0">
            <w:pPr>
              <w:spacing w:before="60" w:after="60"/>
              <w:rPr>
                <w:rFonts w:ascii="Arial" w:hAnsi="Arial" w:cs="Arial"/>
                <w:noProof/>
                <w:sz w:val="20"/>
                <w:szCs w:val="20"/>
                <w:lang w:eastAsia="en-SG"/>
              </w:rPr>
            </w:pPr>
          </w:p>
        </w:tc>
      </w:tr>
      <w:tr w:rsidR="0096758E" w:rsidRPr="00B80829" w14:paraId="5290C302" w14:textId="77777777" w:rsidTr="00AD0BBC">
        <w:trPr>
          <w:trHeight w:val="280"/>
        </w:trPr>
        <w:tc>
          <w:tcPr>
            <w:tcW w:w="2405" w:type="dxa"/>
            <w:vMerge/>
          </w:tcPr>
          <w:p w14:paraId="753C8778" w14:textId="77777777" w:rsidR="0096758E" w:rsidRPr="00B80829" w:rsidRDefault="0096758E" w:rsidP="00A536D0">
            <w:pPr>
              <w:spacing w:before="60" w:after="60"/>
              <w:rPr>
                <w:rFonts w:ascii="Arial" w:hAnsi="Arial" w:cs="Arial"/>
                <w:noProof/>
                <w:sz w:val="20"/>
                <w:szCs w:val="20"/>
                <w:lang w:eastAsia="en-SG"/>
              </w:rPr>
            </w:pPr>
          </w:p>
        </w:tc>
        <w:tc>
          <w:tcPr>
            <w:tcW w:w="2270" w:type="dxa"/>
          </w:tcPr>
          <w:p w14:paraId="2E260141" w14:textId="77777777" w:rsidR="0096758E" w:rsidRPr="00B80829" w:rsidRDefault="0096758E" w:rsidP="00A536D0">
            <w:pPr>
              <w:spacing w:before="60" w:after="60"/>
              <w:rPr>
                <w:rFonts w:ascii="Arial" w:hAnsi="Arial" w:cs="Arial"/>
                <w:noProof/>
                <w:sz w:val="20"/>
                <w:szCs w:val="20"/>
                <w:lang w:eastAsia="en-SG"/>
              </w:rPr>
            </w:pPr>
            <w:r w:rsidRPr="00B80829">
              <w:rPr>
                <w:rFonts w:ascii="Arial" w:hAnsi="Arial" w:cs="Arial"/>
                <w:b/>
                <w:sz w:val="20"/>
                <w:szCs w:val="20"/>
              </w:rPr>
              <w:t>Email</w:t>
            </w:r>
          </w:p>
        </w:tc>
        <w:tc>
          <w:tcPr>
            <w:tcW w:w="5639" w:type="dxa"/>
          </w:tcPr>
          <w:p w14:paraId="1970D9AE" w14:textId="77777777" w:rsidR="0096758E" w:rsidRDefault="00E15C08" w:rsidP="00A536D0">
            <w:pPr>
              <w:spacing w:before="60" w:after="60"/>
            </w:pPr>
            <w:hyperlink r:id="rId7" w:history="1">
              <w:r w:rsidRPr="00E15C08">
                <w:rPr>
                  <w:rStyle w:val="Hyperlink"/>
                  <w:rFonts w:ascii="Arial" w:hAnsi="Arial" w:cs="Arial"/>
                  <w:noProof/>
                  <w:sz w:val="20"/>
                  <w:szCs w:val="20"/>
                  <w:lang w:eastAsia="en-SG"/>
                </w:rPr>
                <w:t>kendall.tan@rajahtann.com</w:t>
              </w:r>
            </w:hyperlink>
          </w:p>
          <w:p w14:paraId="030ADB6E" w14:textId="5A5E0E12" w:rsidR="00AD0BBC" w:rsidRPr="00B80829" w:rsidRDefault="00AD0BBC" w:rsidP="00A536D0">
            <w:pPr>
              <w:spacing w:before="60" w:after="60"/>
              <w:rPr>
                <w:rFonts w:ascii="Arial" w:hAnsi="Arial" w:cs="Arial"/>
                <w:noProof/>
                <w:sz w:val="20"/>
                <w:szCs w:val="20"/>
                <w:lang w:eastAsia="en-SG"/>
              </w:rPr>
            </w:pPr>
          </w:p>
        </w:tc>
      </w:tr>
    </w:tbl>
    <w:p w14:paraId="2E38A23C" w14:textId="3F221BD3" w:rsidR="00762B0A" w:rsidRPr="00B80829" w:rsidRDefault="00762B0A" w:rsidP="00762B0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90E93" w:rsidRPr="00B80829" w14:paraId="7B4042A1" w14:textId="77777777" w:rsidTr="00F90E93">
        <w:tc>
          <w:tcPr>
            <w:tcW w:w="10314" w:type="dxa"/>
            <w:shd w:val="clear" w:color="auto" w:fill="D9D9D9" w:themeFill="background1" w:themeFillShade="D9"/>
          </w:tcPr>
          <w:p w14:paraId="10E34E51" w14:textId="3936EE30" w:rsidR="00F90E93" w:rsidRPr="000638A6" w:rsidRDefault="00F90E93" w:rsidP="00276E28">
            <w:pPr>
              <w:spacing w:before="60" w:after="60"/>
              <w:rPr>
                <w:rFonts w:ascii="Arial" w:hAnsi="Arial" w:cs="Arial"/>
                <w:b/>
                <w:bCs/>
                <w:sz w:val="20"/>
                <w:szCs w:val="20"/>
              </w:rPr>
            </w:pPr>
            <w:r w:rsidRPr="000638A6">
              <w:rPr>
                <w:rFonts w:ascii="Arial" w:hAnsi="Arial" w:cs="Arial"/>
                <w:b/>
                <w:bCs/>
                <w:sz w:val="20"/>
                <w:szCs w:val="20"/>
              </w:rPr>
              <w:t>Educational background</w:t>
            </w:r>
            <w:r w:rsidR="00846D27">
              <w:rPr>
                <w:rFonts w:ascii="Arial" w:hAnsi="Arial" w:cs="Arial"/>
                <w:b/>
                <w:bCs/>
                <w:sz w:val="20"/>
                <w:szCs w:val="20"/>
              </w:rPr>
              <w:t>,</w:t>
            </w:r>
            <w:r w:rsidRPr="000638A6">
              <w:rPr>
                <w:rFonts w:ascii="Arial" w:hAnsi="Arial" w:cs="Arial"/>
                <w:b/>
                <w:bCs/>
                <w:sz w:val="20"/>
                <w:szCs w:val="20"/>
              </w:rPr>
              <w:t xml:space="preserve"> professional </w:t>
            </w:r>
            <w:r w:rsidR="009C1AF7">
              <w:rPr>
                <w:rFonts w:ascii="Arial" w:hAnsi="Arial" w:cs="Arial"/>
                <w:b/>
                <w:bCs/>
                <w:sz w:val="20"/>
                <w:szCs w:val="20"/>
              </w:rPr>
              <w:t>m</w:t>
            </w:r>
            <w:r w:rsidRPr="000638A6">
              <w:rPr>
                <w:rFonts w:ascii="Arial" w:hAnsi="Arial" w:cs="Arial"/>
                <w:b/>
                <w:bCs/>
                <w:sz w:val="20"/>
                <w:szCs w:val="20"/>
              </w:rPr>
              <w:t>emberships</w:t>
            </w:r>
            <w:r w:rsidR="00846D27">
              <w:rPr>
                <w:rFonts w:ascii="Arial" w:hAnsi="Arial" w:cs="Arial"/>
                <w:b/>
                <w:bCs/>
                <w:sz w:val="20"/>
                <w:szCs w:val="20"/>
              </w:rPr>
              <w:t>, and jurisdictions of admission</w:t>
            </w:r>
          </w:p>
        </w:tc>
      </w:tr>
      <w:tr w:rsidR="00762B0A" w:rsidRPr="00B80829" w14:paraId="302093C1" w14:textId="77777777" w:rsidTr="00F90E93">
        <w:tc>
          <w:tcPr>
            <w:tcW w:w="10314" w:type="dxa"/>
          </w:tcPr>
          <w:p w14:paraId="74B22505" w14:textId="1B36BC7E" w:rsidR="00E15C08" w:rsidRPr="00E15C08" w:rsidRDefault="00E15C08" w:rsidP="00DE1C51">
            <w:pPr>
              <w:numPr>
                <w:ilvl w:val="0"/>
                <w:numId w:val="3"/>
              </w:numPr>
              <w:spacing w:before="120" w:after="240" w:line="360" w:lineRule="auto"/>
              <w:rPr>
                <w:sz w:val="20"/>
                <w:szCs w:val="20"/>
                <w:lang w:val="en-SG" w:eastAsia="zh-CN"/>
              </w:rPr>
            </w:pPr>
            <w:r w:rsidRPr="00E15C08">
              <w:rPr>
                <w:rFonts w:ascii="Arial" w:eastAsia="+mn-ea" w:hAnsi="Arial" w:cs="+mn-cs"/>
                <w:color w:val="1F1F1F"/>
                <w:kern w:val="24"/>
                <w:sz w:val="20"/>
                <w:szCs w:val="20"/>
                <w:lang w:eastAsia="zh-CN"/>
              </w:rPr>
              <w:t xml:space="preserve">Advocate &amp; Solicitor, Singapore </w:t>
            </w:r>
          </w:p>
          <w:p w14:paraId="71432F71" w14:textId="77777777" w:rsidR="00E15C08" w:rsidRPr="00E15C08" w:rsidRDefault="00E15C08" w:rsidP="00DE1C51">
            <w:pPr>
              <w:numPr>
                <w:ilvl w:val="0"/>
                <w:numId w:val="3"/>
              </w:numPr>
              <w:spacing w:before="120" w:after="240" w:line="360" w:lineRule="auto"/>
              <w:rPr>
                <w:sz w:val="20"/>
                <w:szCs w:val="20"/>
                <w:lang w:val="en-SG" w:eastAsia="zh-CN"/>
              </w:rPr>
            </w:pPr>
            <w:r w:rsidRPr="00E15C08">
              <w:rPr>
                <w:rFonts w:ascii="Arial" w:eastAsia="+mn-ea" w:hAnsi="Arial" w:cs="+mn-cs"/>
                <w:color w:val="1F1F1F"/>
                <w:kern w:val="24"/>
                <w:sz w:val="20"/>
                <w:szCs w:val="20"/>
                <w:lang w:eastAsia="zh-CN"/>
              </w:rPr>
              <w:t xml:space="preserve">Advocate &amp; Solicitor, Brunei Darussalam </w:t>
            </w:r>
          </w:p>
          <w:p w14:paraId="3980015B" w14:textId="77777777" w:rsidR="00E15C08" w:rsidRPr="00E15C08" w:rsidRDefault="00E15C08" w:rsidP="00DE1C51">
            <w:pPr>
              <w:numPr>
                <w:ilvl w:val="0"/>
                <w:numId w:val="3"/>
              </w:numPr>
              <w:spacing w:before="120" w:after="240" w:line="360" w:lineRule="auto"/>
              <w:rPr>
                <w:sz w:val="20"/>
                <w:szCs w:val="20"/>
                <w:lang w:val="en-SG" w:eastAsia="zh-CN"/>
              </w:rPr>
            </w:pPr>
            <w:r w:rsidRPr="00E15C08">
              <w:rPr>
                <w:rFonts w:ascii="Arial" w:eastAsia="+mn-ea" w:hAnsi="Arial" w:cs="+mn-cs"/>
                <w:color w:val="1F1F1F"/>
                <w:kern w:val="24"/>
                <w:sz w:val="20"/>
                <w:szCs w:val="20"/>
                <w:lang w:eastAsia="zh-CN"/>
              </w:rPr>
              <w:t>Solicitor, England and Wales (</w:t>
            </w:r>
            <w:proofErr w:type="spellStart"/>
            <w:r w:rsidRPr="00E15C08">
              <w:rPr>
                <w:rFonts w:ascii="Arial" w:eastAsia="+mn-ea" w:hAnsi="Arial" w:cs="+mn-cs"/>
                <w:color w:val="1F1F1F"/>
                <w:kern w:val="24"/>
                <w:sz w:val="20"/>
                <w:szCs w:val="20"/>
                <w:lang w:eastAsia="zh-CN"/>
              </w:rPr>
              <w:t>Practising</w:t>
            </w:r>
            <w:proofErr w:type="spellEnd"/>
            <w:r w:rsidRPr="00E15C08">
              <w:rPr>
                <w:rFonts w:ascii="Arial" w:eastAsia="+mn-ea" w:hAnsi="Arial" w:cs="+mn-cs"/>
                <w:color w:val="1F1F1F"/>
                <w:kern w:val="24"/>
                <w:sz w:val="20"/>
                <w:szCs w:val="20"/>
                <w:lang w:eastAsia="zh-CN"/>
              </w:rPr>
              <w:t>)</w:t>
            </w:r>
          </w:p>
          <w:p w14:paraId="7EC0CAE9" w14:textId="77777777" w:rsidR="00E15C08" w:rsidRPr="00E15C08" w:rsidRDefault="00E15C08" w:rsidP="00DE1C51">
            <w:pPr>
              <w:numPr>
                <w:ilvl w:val="0"/>
                <w:numId w:val="3"/>
              </w:numPr>
              <w:spacing w:before="120" w:after="240" w:line="360" w:lineRule="auto"/>
              <w:rPr>
                <w:sz w:val="20"/>
                <w:szCs w:val="20"/>
                <w:lang w:val="en-SG" w:eastAsia="zh-CN"/>
              </w:rPr>
            </w:pPr>
            <w:r w:rsidRPr="00E15C08">
              <w:rPr>
                <w:rFonts w:ascii="Arial" w:eastAsia="+mn-ea" w:hAnsi="Arial" w:cs="+mn-cs"/>
                <w:color w:val="1F1F1F"/>
                <w:kern w:val="24"/>
                <w:sz w:val="20"/>
                <w:szCs w:val="20"/>
                <w:lang w:eastAsia="zh-CN"/>
              </w:rPr>
              <w:t>Snr. Acc. Spec. (Maritime and Shipping), Singapore Academy of Law</w:t>
            </w:r>
          </w:p>
          <w:p w14:paraId="50E65A3C" w14:textId="22E3CD00" w:rsidR="00762B0A" w:rsidRPr="00DE1C51" w:rsidRDefault="00417210" w:rsidP="00DE1C51">
            <w:pPr>
              <w:numPr>
                <w:ilvl w:val="0"/>
                <w:numId w:val="3"/>
              </w:numPr>
              <w:spacing w:before="120" w:after="240" w:line="360" w:lineRule="auto"/>
              <w:rPr>
                <w:sz w:val="20"/>
                <w:szCs w:val="20"/>
                <w:lang w:val="en-SG" w:eastAsia="zh-CN"/>
              </w:rPr>
            </w:pPr>
            <w:r w:rsidRPr="00417210">
              <w:rPr>
                <w:rFonts w:ascii="Arial" w:eastAsia="+mn-ea" w:hAnsi="Arial" w:cs="+mn-cs"/>
                <w:color w:val="1F1F1F"/>
                <w:kern w:val="24"/>
                <w:sz w:val="20"/>
                <w:szCs w:val="20"/>
                <w:lang w:eastAsia="zh-CN"/>
              </w:rPr>
              <w:t>Fellow, Chartered Institute of Arbitrators (</w:t>
            </w:r>
            <w:proofErr w:type="spellStart"/>
            <w:r w:rsidRPr="00417210">
              <w:rPr>
                <w:rFonts w:ascii="Arial" w:eastAsia="+mn-ea" w:hAnsi="Arial" w:cs="+mn-cs"/>
                <w:color w:val="1F1F1F"/>
                <w:kern w:val="24"/>
                <w:sz w:val="20"/>
                <w:szCs w:val="20"/>
                <w:lang w:eastAsia="zh-CN"/>
              </w:rPr>
              <w:t>FCIArb</w:t>
            </w:r>
            <w:proofErr w:type="spellEnd"/>
            <w:r w:rsidRPr="00417210">
              <w:rPr>
                <w:rFonts w:ascii="Arial" w:eastAsia="+mn-ea" w:hAnsi="Arial" w:cs="+mn-cs"/>
                <w:color w:val="1F1F1F"/>
                <w:kern w:val="24"/>
                <w:sz w:val="20"/>
                <w:szCs w:val="20"/>
                <w:lang w:eastAsia="zh-CN"/>
              </w:rPr>
              <w:t>)</w:t>
            </w:r>
          </w:p>
        </w:tc>
      </w:tr>
      <w:tr w:rsidR="00F90E93" w:rsidRPr="00B80829" w14:paraId="36849A85" w14:textId="77777777" w:rsidTr="00F90E93">
        <w:tc>
          <w:tcPr>
            <w:tcW w:w="10314" w:type="dxa"/>
            <w:shd w:val="clear" w:color="auto" w:fill="D9D9D9" w:themeFill="background1" w:themeFillShade="D9"/>
          </w:tcPr>
          <w:p w14:paraId="20AD6190" w14:textId="13817B5A" w:rsidR="00F90E93" w:rsidRPr="000638A6" w:rsidRDefault="00F90E93" w:rsidP="00276E28">
            <w:pPr>
              <w:spacing w:before="60" w:after="60"/>
              <w:rPr>
                <w:rFonts w:ascii="Arial" w:hAnsi="Arial" w:cs="Arial"/>
                <w:b/>
                <w:bCs/>
                <w:sz w:val="20"/>
                <w:szCs w:val="20"/>
              </w:rPr>
            </w:pPr>
            <w:r w:rsidRPr="000638A6">
              <w:rPr>
                <w:rFonts w:ascii="Arial" w:hAnsi="Arial" w:cs="Arial"/>
                <w:b/>
                <w:bCs/>
                <w:sz w:val="20"/>
                <w:szCs w:val="20"/>
              </w:rPr>
              <w:t>Current position</w:t>
            </w:r>
          </w:p>
        </w:tc>
      </w:tr>
      <w:tr w:rsidR="00F90E93" w:rsidRPr="00B80829" w14:paraId="15727E5A" w14:textId="77777777" w:rsidTr="00F90E93">
        <w:tc>
          <w:tcPr>
            <w:tcW w:w="10314" w:type="dxa"/>
          </w:tcPr>
          <w:p w14:paraId="1AF85547" w14:textId="495C18B9" w:rsidR="00F90E93" w:rsidRDefault="00E15C08" w:rsidP="00276E28">
            <w:pPr>
              <w:spacing w:before="60" w:after="60"/>
              <w:rPr>
                <w:rFonts w:ascii="Arial" w:hAnsi="Arial" w:cs="Arial"/>
                <w:sz w:val="20"/>
                <w:szCs w:val="20"/>
              </w:rPr>
            </w:pPr>
            <w:r>
              <w:rPr>
                <w:rFonts w:ascii="Arial" w:hAnsi="Arial" w:cs="Arial"/>
                <w:sz w:val="20"/>
                <w:szCs w:val="20"/>
              </w:rPr>
              <w:t>Partner</w:t>
            </w:r>
          </w:p>
          <w:p w14:paraId="6A63E5C4" w14:textId="60904D74" w:rsidR="00F90E93" w:rsidRPr="00B80829" w:rsidRDefault="00F90E93" w:rsidP="00276E28">
            <w:pPr>
              <w:spacing w:before="60" w:after="60"/>
              <w:rPr>
                <w:rFonts w:ascii="Arial" w:hAnsi="Arial" w:cs="Arial"/>
                <w:sz w:val="20"/>
                <w:szCs w:val="20"/>
              </w:rPr>
            </w:pPr>
          </w:p>
        </w:tc>
      </w:tr>
      <w:tr w:rsidR="00F90E93" w:rsidRPr="00B80829" w14:paraId="0D1BCCC5" w14:textId="77777777" w:rsidTr="00F90E93">
        <w:tc>
          <w:tcPr>
            <w:tcW w:w="10314" w:type="dxa"/>
            <w:shd w:val="clear" w:color="auto" w:fill="D9D9D9" w:themeFill="background1" w:themeFillShade="D9"/>
          </w:tcPr>
          <w:p w14:paraId="36B306E2" w14:textId="4784ED61" w:rsidR="00F90E93" w:rsidRPr="000638A6" w:rsidRDefault="00F90E93" w:rsidP="00276E28">
            <w:pPr>
              <w:spacing w:before="60" w:after="60"/>
              <w:rPr>
                <w:rFonts w:ascii="Arial" w:hAnsi="Arial" w:cs="Arial"/>
                <w:b/>
                <w:bCs/>
                <w:sz w:val="20"/>
                <w:szCs w:val="20"/>
              </w:rPr>
            </w:pPr>
            <w:r w:rsidRPr="000638A6">
              <w:rPr>
                <w:rFonts w:ascii="Arial" w:hAnsi="Arial" w:cs="Arial"/>
                <w:b/>
                <w:bCs/>
                <w:sz w:val="20"/>
                <w:szCs w:val="20"/>
              </w:rPr>
              <w:t xml:space="preserve">Professional </w:t>
            </w:r>
            <w:r w:rsidR="00E57218">
              <w:rPr>
                <w:rFonts w:ascii="Arial" w:hAnsi="Arial" w:cs="Arial"/>
                <w:b/>
                <w:bCs/>
                <w:sz w:val="20"/>
                <w:szCs w:val="20"/>
              </w:rPr>
              <w:t xml:space="preserve">and arbitration </w:t>
            </w:r>
            <w:r w:rsidRPr="000638A6">
              <w:rPr>
                <w:rFonts w:ascii="Arial" w:hAnsi="Arial" w:cs="Arial"/>
                <w:b/>
                <w:bCs/>
                <w:sz w:val="20"/>
                <w:szCs w:val="20"/>
              </w:rPr>
              <w:t>experience</w:t>
            </w:r>
          </w:p>
        </w:tc>
      </w:tr>
      <w:tr w:rsidR="00F90E93" w:rsidRPr="00B80829" w14:paraId="5D98C8D7" w14:textId="77777777" w:rsidTr="00034705">
        <w:trPr>
          <w:trHeight w:val="4479"/>
        </w:trPr>
        <w:tc>
          <w:tcPr>
            <w:tcW w:w="10314" w:type="dxa"/>
          </w:tcPr>
          <w:p w14:paraId="589AF27F" w14:textId="64F94887" w:rsidR="00E15C08" w:rsidRPr="00E15C08" w:rsidRDefault="00E15C08" w:rsidP="00DE1C51">
            <w:pPr>
              <w:spacing w:before="120" w:after="240" w:line="360" w:lineRule="auto"/>
              <w:jc w:val="both"/>
              <w:rPr>
                <w:rFonts w:ascii="Arial" w:eastAsia="DengXian" w:hAnsi="Arial" w:cs="Arial"/>
                <w:sz w:val="20"/>
                <w:szCs w:val="20"/>
                <w:lang w:val="en-SG" w:eastAsia="zh-CN"/>
              </w:rPr>
            </w:pPr>
            <w:r w:rsidRPr="00E15C08">
              <w:rPr>
                <w:rFonts w:ascii="Arial" w:eastAsia="DengXian" w:hAnsi="Arial" w:cs="Arial"/>
                <w:sz w:val="20"/>
                <w:szCs w:val="20"/>
                <w:lang w:val="en-SG" w:eastAsia="zh-CN"/>
              </w:rPr>
              <w:t>Kendall Tan is a Partner at Rajah &amp; Tann Singapore and serves as Practice Leader for the Shipping Regional Practice Group across the Rajah &amp; Tann Asia network. He additionally leads the firm's Brunei Desk Practice and Europe Focus Group, bringing to each mandate a trifecta of admissions — as an Advocate and Solicitor of the Supreme Court of Singapore, of the Bar of Brunei Darussalam, and as a practising Solicitor on the Roll of Solicitors of England and Wales.</w:t>
            </w:r>
          </w:p>
          <w:p w14:paraId="4B55D3FE" w14:textId="6FF16AF4" w:rsidR="00E15C08" w:rsidRPr="00E15C08" w:rsidRDefault="00E15C08" w:rsidP="00DE1C51">
            <w:pPr>
              <w:spacing w:before="120" w:after="240" w:line="360" w:lineRule="auto"/>
              <w:jc w:val="both"/>
              <w:rPr>
                <w:rFonts w:ascii="Arial" w:eastAsia="DengXian" w:hAnsi="Arial" w:cs="Arial"/>
                <w:sz w:val="20"/>
                <w:szCs w:val="20"/>
                <w:lang w:val="en-SG" w:eastAsia="zh-CN"/>
              </w:rPr>
            </w:pPr>
            <w:r w:rsidRPr="00E15C08">
              <w:rPr>
                <w:rFonts w:ascii="Arial" w:eastAsia="DengXian" w:hAnsi="Arial" w:cs="Arial"/>
                <w:sz w:val="20"/>
                <w:szCs w:val="20"/>
                <w:lang w:val="en-SG" w:eastAsia="zh-CN"/>
              </w:rPr>
              <w:t>Kendall's core areas of expertise encompass marine casualties, pollution incidents and complex offshore situations — including mooring and berthing accidents, collisions and allisions with bridge and sub-sea structures, heavy weather damage, explosions, fires and rig or drillship incidents. He advises shipowners, hull underwriters, P&amp;I clubs and cargo interests across virtually all major casualties involving Singapore-flagged tonnage in recent years. His expertise extends equally to chain-charter and alliance agreement disputes, complex cargo and bill of lading fraud, specialised carriage — including containerised, combi-transport, refrigerated, dangerous goods, gas carrier and tanker shipping — as well as hull and machinery policies and specialist cargo and energy package insurance.</w:t>
            </w:r>
          </w:p>
          <w:p w14:paraId="36B299A8" w14:textId="65FB19B7" w:rsidR="00E15C08" w:rsidRPr="00E15C08" w:rsidRDefault="00E15C08" w:rsidP="00DE1C51">
            <w:pPr>
              <w:spacing w:before="120" w:after="240" w:line="360" w:lineRule="auto"/>
              <w:jc w:val="both"/>
              <w:rPr>
                <w:rFonts w:ascii="Arial" w:eastAsia="DengXian" w:hAnsi="Arial" w:cs="Arial"/>
                <w:sz w:val="20"/>
                <w:szCs w:val="20"/>
                <w:lang w:val="en-SG" w:eastAsia="zh-CN"/>
              </w:rPr>
            </w:pPr>
            <w:r w:rsidRPr="00E15C08">
              <w:rPr>
                <w:rFonts w:ascii="Arial" w:eastAsia="DengXian" w:hAnsi="Arial" w:cs="Arial"/>
                <w:sz w:val="20"/>
                <w:szCs w:val="20"/>
                <w:lang w:val="en-SG" w:eastAsia="zh-CN"/>
              </w:rPr>
              <w:t xml:space="preserve">On the energy and commodities front, Kendall is counsel of choice to two national oil companies, leading global traders in crude and fuel products, and the </w:t>
            </w:r>
            <w:proofErr w:type="gramStart"/>
            <w:r w:rsidRPr="00E15C08">
              <w:rPr>
                <w:rFonts w:ascii="Arial" w:eastAsia="DengXian" w:hAnsi="Arial" w:cs="Arial"/>
                <w:sz w:val="20"/>
                <w:szCs w:val="20"/>
                <w:lang w:val="en-SG" w:eastAsia="zh-CN"/>
              </w:rPr>
              <w:t>world's</w:t>
            </w:r>
            <w:proofErr w:type="gramEnd"/>
            <w:r w:rsidRPr="00E15C08">
              <w:rPr>
                <w:rFonts w:ascii="Arial" w:eastAsia="DengXian" w:hAnsi="Arial" w:cs="Arial"/>
                <w:sz w:val="20"/>
                <w:szCs w:val="20"/>
                <w:lang w:val="en-SG" w:eastAsia="zh-CN"/>
              </w:rPr>
              <w:t xml:space="preserve"> foremost privately held tanker fleets. He advises on oil trading arrangements, LNG long-term supply and transportation contracts, and has acted in high-value arbitrations involving rig conversions and newbuild LNG carriers. His geographic reach is similarly expansive: with fluency in Mandarin, he is regularly engaged in disputes before the Chinese courts and across North Asian jurisdictions, while also </w:t>
            </w:r>
            <w:r w:rsidRPr="00E15C08">
              <w:rPr>
                <w:rFonts w:ascii="Arial" w:eastAsia="DengXian" w:hAnsi="Arial" w:cs="Arial"/>
                <w:sz w:val="20"/>
                <w:szCs w:val="20"/>
                <w:lang w:val="en-SG" w:eastAsia="zh-CN"/>
              </w:rPr>
              <w:lastRenderedPageBreak/>
              <w:t>appearing as counsel in substantial maritime and trading arbitrations in Singapore and London. He acts in international sale and trading arbitrations under the auspices of the SIAC, LCIA, SCMA, LMAA, ICC and GAFTA, and accepts appointment as arbitrator in shipping and commodities disputes.</w:t>
            </w:r>
          </w:p>
          <w:p w14:paraId="7CBD8876" w14:textId="3F1B9C47" w:rsidR="00E15C08" w:rsidRPr="00E15C08" w:rsidRDefault="00E15C08" w:rsidP="00DE1C51">
            <w:pPr>
              <w:spacing w:before="120" w:after="240" w:line="360" w:lineRule="auto"/>
              <w:jc w:val="both"/>
              <w:rPr>
                <w:rFonts w:ascii="Arial" w:eastAsia="DengXian" w:hAnsi="Arial" w:cs="Arial"/>
                <w:sz w:val="20"/>
                <w:szCs w:val="20"/>
                <w:lang w:val="en-SG" w:eastAsia="zh-CN"/>
              </w:rPr>
            </w:pPr>
            <w:r w:rsidRPr="00E15C08">
              <w:rPr>
                <w:rFonts w:ascii="Arial" w:eastAsia="DengXian" w:hAnsi="Arial" w:cs="Arial"/>
                <w:sz w:val="20"/>
                <w:szCs w:val="20"/>
                <w:lang w:val="en-SG" w:eastAsia="zh-CN"/>
              </w:rPr>
              <w:t>Kendall's case record reflects some of the industry's most consequential proceedings. He was lead counsel in the Singapore Court of Appeal decision in </w:t>
            </w:r>
            <w:r w:rsidRPr="00E15C08">
              <w:rPr>
                <w:rFonts w:ascii="Arial" w:eastAsia="DengXian" w:hAnsi="Arial" w:cs="Arial"/>
                <w:i/>
                <w:iCs/>
                <w:sz w:val="20"/>
                <w:szCs w:val="20"/>
                <w:lang w:val="en-SG" w:eastAsia="zh-CN"/>
              </w:rPr>
              <w:t>BWG v BWF</w:t>
            </w:r>
            <w:r w:rsidRPr="00E15C08">
              <w:rPr>
                <w:rFonts w:ascii="Arial" w:eastAsia="DengXian" w:hAnsi="Arial" w:cs="Arial"/>
                <w:sz w:val="20"/>
                <w:szCs w:val="20"/>
                <w:lang w:val="en-SG" w:eastAsia="zh-CN"/>
              </w:rPr>
              <w:t> [2020] SGCA 36 — heard before a coram of five judges — which resolved a complex bill of lading dispute on a suspected carousel oil-trading arrangement. He led the Singapore phase of </w:t>
            </w:r>
            <w:proofErr w:type="spellStart"/>
            <w:r w:rsidRPr="00E15C08">
              <w:rPr>
                <w:rFonts w:ascii="Arial" w:eastAsia="DengXian" w:hAnsi="Arial" w:cs="Arial"/>
                <w:i/>
                <w:iCs/>
                <w:sz w:val="20"/>
                <w:szCs w:val="20"/>
                <w:lang w:val="en-SG" w:eastAsia="zh-CN"/>
              </w:rPr>
              <w:t>Enemalta</w:t>
            </w:r>
            <w:proofErr w:type="spellEnd"/>
            <w:r w:rsidRPr="00E15C08">
              <w:rPr>
                <w:rFonts w:ascii="Arial" w:eastAsia="DengXian" w:hAnsi="Arial" w:cs="Arial"/>
                <w:i/>
                <w:iCs/>
                <w:sz w:val="20"/>
                <w:szCs w:val="20"/>
                <w:lang w:val="en-SG" w:eastAsia="zh-CN"/>
              </w:rPr>
              <w:t xml:space="preserve"> Plc v The Standard Club Asia</w:t>
            </w:r>
            <w:r w:rsidRPr="00E15C08">
              <w:rPr>
                <w:rFonts w:ascii="Arial" w:eastAsia="DengXian" w:hAnsi="Arial" w:cs="Arial"/>
                <w:sz w:val="20"/>
                <w:szCs w:val="20"/>
                <w:lang w:val="en-SG" w:eastAsia="zh-CN"/>
              </w:rPr>
              <w:t> [2021] EWHC 1215 (Comm), arising from a high-stakes sub-sea cable snagging incident in the Straits of Sicily, and in the London arbitration phase of </w:t>
            </w:r>
            <w:r w:rsidRPr="00E15C08">
              <w:rPr>
                <w:rFonts w:ascii="Arial" w:eastAsia="DengXian" w:hAnsi="Arial" w:cs="Arial"/>
                <w:i/>
                <w:iCs/>
                <w:sz w:val="20"/>
                <w:szCs w:val="20"/>
                <w:lang w:val="en-SG" w:eastAsia="zh-CN"/>
              </w:rPr>
              <w:t>Times Trading Corporation v National Bank of Fujairah</w:t>
            </w:r>
            <w:r w:rsidRPr="00E15C08">
              <w:rPr>
                <w:rFonts w:ascii="Arial" w:eastAsia="DengXian" w:hAnsi="Arial" w:cs="Arial"/>
                <w:sz w:val="20"/>
                <w:szCs w:val="20"/>
                <w:lang w:val="en-SG" w:eastAsia="zh-CN"/>
              </w:rPr>
              <w:t> [2020] EWHC 1078 (Comm), a seminal anti-suit injunction decision.  Expert evidence on maritime law that Kendall has provided has been endorsed by the United States Court of Appeals for the Fifth Circuit and the US District Court for the Western District of Louisiana.</w:t>
            </w:r>
          </w:p>
          <w:p w14:paraId="172E12ED" w14:textId="1A9B622C" w:rsidR="00F90E93" w:rsidRPr="00E15C08" w:rsidRDefault="00E15C08" w:rsidP="00DE1C51">
            <w:pPr>
              <w:spacing w:before="120" w:after="240" w:line="360" w:lineRule="auto"/>
              <w:jc w:val="both"/>
              <w:rPr>
                <w:rFonts w:ascii="Arial" w:eastAsia="DengXian" w:hAnsi="Arial" w:cs="Arial"/>
                <w:sz w:val="20"/>
                <w:szCs w:val="20"/>
                <w:lang w:val="en-SG" w:eastAsia="zh-CN"/>
              </w:rPr>
            </w:pPr>
            <w:r w:rsidRPr="00E15C08">
              <w:rPr>
                <w:rFonts w:ascii="Arial" w:eastAsia="DengXian" w:hAnsi="Arial" w:cs="Arial"/>
                <w:sz w:val="20"/>
                <w:szCs w:val="20"/>
                <w:lang w:val="en-SG" w:eastAsia="zh-CN"/>
              </w:rPr>
              <w:t>Beyond practice, Kendall serves as an Adjunct Professor in Shipping and Admiralty Law at Singapore Management University, contributing to the development of the next generation of maritime lawyers. He sits on the Board of the Singapore Chamber of Maritime Arbitration (SCMA) and chairs its Members' Consultative Council. He is a Fellow of the Chartered Institute of Arbitrators (</w:t>
            </w:r>
            <w:proofErr w:type="spellStart"/>
            <w:r w:rsidRPr="00E15C08">
              <w:rPr>
                <w:rFonts w:ascii="Arial" w:eastAsia="DengXian" w:hAnsi="Arial" w:cs="Arial"/>
                <w:sz w:val="20"/>
                <w:szCs w:val="20"/>
                <w:lang w:val="en-SG" w:eastAsia="zh-CN"/>
              </w:rPr>
              <w:t>FCIArb</w:t>
            </w:r>
            <w:proofErr w:type="spellEnd"/>
            <w:r w:rsidRPr="00E15C08">
              <w:rPr>
                <w:rFonts w:ascii="Arial" w:eastAsia="DengXian" w:hAnsi="Arial" w:cs="Arial"/>
                <w:sz w:val="20"/>
                <w:szCs w:val="20"/>
                <w:lang w:val="en-SG" w:eastAsia="zh-CN"/>
              </w:rPr>
              <w:t>) and a member of the Law Society of England and Wales.</w:t>
            </w:r>
          </w:p>
        </w:tc>
      </w:tr>
      <w:tr w:rsidR="00F90E93" w:rsidRPr="00B80829" w14:paraId="6DCE3E75" w14:textId="77777777" w:rsidTr="00F90E93">
        <w:tc>
          <w:tcPr>
            <w:tcW w:w="10314" w:type="dxa"/>
            <w:shd w:val="clear" w:color="auto" w:fill="D9D9D9" w:themeFill="background1" w:themeFillShade="D9"/>
          </w:tcPr>
          <w:p w14:paraId="1425161E" w14:textId="0CB6B7CB" w:rsidR="00F90E93" w:rsidRPr="000638A6" w:rsidRDefault="00F90E93" w:rsidP="00276E28">
            <w:pPr>
              <w:spacing w:before="60" w:after="60"/>
              <w:rPr>
                <w:rFonts w:ascii="Arial" w:hAnsi="Arial" w:cs="Arial"/>
                <w:b/>
                <w:bCs/>
                <w:sz w:val="20"/>
                <w:szCs w:val="20"/>
              </w:rPr>
            </w:pPr>
            <w:r w:rsidRPr="000638A6">
              <w:rPr>
                <w:rFonts w:ascii="Arial" w:hAnsi="Arial" w:cs="Arial"/>
                <w:b/>
                <w:bCs/>
                <w:sz w:val="20"/>
                <w:szCs w:val="20"/>
              </w:rPr>
              <w:lastRenderedPageBreak/>
              <w:t>Publications</w:t>
            </w:r>
          </w:p>
        </w:tc>
      </w:tr>
      <w:tr w:rsidR="00F90E93" w:rsidRPr="00B80829" w14:paraId="5DBE6F3F" w14:textId="77777777" w:rsidTr="00F90E93">
        <w:tc>
          <w:tcPr>
            <w:tcW w:w="10314" w:type="dxa"/>
          </w:tcPr>
          <w:p w14:paraId="6689C8C0" w14:textId="664ED5B4" w:rsidR="003B1993" w:rsidRPr="003B1993" w:rsidRDefault="003B1993" w:rsidP="00EA477F">
            <w:pPr>
              <w:numPr>
                <w:ilvl w:val="0"/>
                <w:numId w:val="4"/>
              </w:numPr>
              <w:spacing w:before="120" w:after="240" w:line="360" w:lineRule="auto"/>
              <w:rPr>
                <w:rFonts w:ascii="Arial" w:hAnsi="Arial" w:cs="Arial"/>
                <w:sz w:val="20"/>
                <w:szCs w:val="20"/>
                <w:lang w:val="en-SG" w:eastAsia="zh-CN"/>
              </w:rPr>
            </w:pPr>
            <w:r w:rsidRPr="003B1993">
              <w:rPr>
                <w:rFonts w:ascii="Arial" w:eastAsia="+mn-ea" w:hAnsi="Arial" w:cs="Arial"/>
                <w:color w:val="1F1F1F"/>
                <w:kern w:val="24"/>
                <w:sz w:val="20"/>
                <w:szCs w:val="20"/>
                <w:lang w:eastAsia="zh-CN"/>
              </w:rPr>
              <w:t xml:space="preserve">Uberrimae Fides </w:t>
            </w:r>
            <w:proofErr w:type="gramStart"/>
            <w:r w:rsidRPr="003B1993">
              <w:rPr>
                <w:rFonts w:ascii="Arial" w:eastAsia="+mn-ea" w:hAnsi="Arial" w:cs="Arial"/>
                <w:color w:val="1F1F1F"/>
                <w:kern w:val="24"/>
                <w:sz w:val="20"/>
                <w:szCs w:val="20"/>
                <w:lang w:eastAsia="zh-CN"/>
              </w:rPr>
              <w:t>In</w:t>
            </w:r>
            <w:proofErr w:type="gramEnd"/>
            <w:r w:rsidRPr="003B1993">
              <w:rPr>
                <w:rFonts w:ascii="Arial" w:eastAsia="+mn-ea" w:hAnsi="Arial" w:cs="Arial"/>
                <w:color w:val="1F1F1F"/>
                <w:kern w:val="24"/>
                <w:sz w:val="20"/>
                <w:szCs w:val="20"/>
                <w:lang w:eastAsia="zh-CN"/>
              </w:rPr>
              <w:t xml:space="preserve"> Marine Insurance Contracts — Demarcating </w:t>
            </w:r>
            <w:proofErr w:type="gramStart"/>
            <w:r w:rsidRPr="003B1993">
              <w:rPr>
                <w:rFonts w:ascii="Arial" w:eastAsia="+mn-ea" w:hAnsi="Arial" w:cs="Arial"/>
                <w:color w:val="1F1F1F"/>
                <w:kern w:val="24"/>
                <w:sz w:val="20"/>
                <w:szCs w:val="20"/>
                <w:lang w:eastAsia="zh-CN"/>
              </w:rPr>
              <w:t>The</w:t>
            </w:r>
            <w:proofErr w:type="gramEnd"/>
            <w:r w:rsidRPr="003B1993">
              <w:rPr>
                <w:rFonts w:ascii="Arial" w:eastAsia="+mn-ea" w:hAnsi="Arial" w:cs="Arial"/>
                <w:color w:val="1F1F1F"/>
                <w:kern w:val="24"/>
                <w:sz w:val="20"/>
                <w:szCs w:val="20"/>
                <w:lang w:eastAsia="zh-CN"/>
              </w:rPr>
              <w:t xml:space="preserve"> Boundaries </w:t>
            </w:r>
            <w:proofErr w:type="gramStart"/>
            <w:r w:rsidRPr="003B1993">
              <w:rPr>
                <w:rFonts w:ascii="Arial" w:eastAsia="+mn-ea" w:hAnsi="Arial" w:cs="Arial"/>
                <w:color w:val="1F1F1F"/>
                <w:kern w:val="24"/>
                <w:sz w:val="20"/>
                <w:szCs w:val="20"/>
                <w:lang w:eastAsia="zh-CN"/>
              </w:rPr>
              <w:t>Of</w:t>
            </w:r>
            <w:proofErr w:type="gramEnd"/>
            <w:r w:rsidRPr="003B1993">
              <w:rPr>
                <w:rFonts w:ascii="Arial" w:eastAsia="+mn-ea" w:hAnsi="Arial" w:cs="Arial"/>
                <w:color w:val="1F1F1F"/>
                <w:kern w:val="24"/>
                <w:sz w:val="20"/>
                <w:szCs w:val="20"/>
                <w:lang w:eastAsia="zh-CN"/>
              </w:rPr>
              <w:t xml:space="preserve"> </w:t>
            </w:r>
            <w:proofErr w:type="gramStart"/>
            <w:r w:rsidRPr="003B1993">
              <w:rPr>
                <w:rFonts w:ascii="Arial" w:eastAsia="+mn-ea" w:hAnsi="Arial" w:cs="Arial"/>
                <w:color w:val="1F1F1F"/>
                <w:kern w:val="24"/>
                <w:sz w:val="20"/>
                <w:szCs w:val="20"/>
                <w:lang w:eastAsia="zh-CN"/>
              </w:rPr>
              <w:t>An</w:t>
            </w:r>
            <w:proofErr w:type="gramEnd"/>
            <w:r w:rsidRPr="003B1993">
              <w:rPr>
                <w:rFonts w:ascii="Arial" w:eastAsia="+mn-ea" w:hAnsi="Arial" w:cs="Arial"/>
                <w:color w:val="1F1F1F"/>
                <w:kern w:val="24"/>
                <w:sz w:val="20"/>
                <w:szCs w:val="20"/>
                <w:lang w:eastAsia="zh-CN"/>
              </w:rPr>
              <w:t xml:space="preserve"> Insured’s Continuing Duty </w:t>
            </w:r>
            <w:proofErr w:type="gramStart"/>
            <w:r w:rsidRPr="003B1993">
              <w:rPr>
                <w:rFonts w:ascii="Arial" w:eastAsia="+mn-ea" w:hAnsi="Arial" w:cs="Arial"/>
                <w:color w:val="1F1F1F"/>
                <w:kern w:val="24"/>
                <w:sz w:val="20"/>
                <w:szCs w:val="20"/>
                <w:lang w:eastAsia="zh-CN"/>
              </w:rPr>
              <w:t>Of</w:t>
            </w:r>
            <w:proofErr w:type="gramEnd"/>
            <w:r w:rsidRPr="003B1993">
              <w:rPr>
                <w:rFonts w:ascii="Arial" w:eastAsia="+mn-ea" w:hAnsi="Arial" w:cs="Arial"/>
                <w:color w:val="1F1F1F"/>
                <w:kern w:val="24"/>
                <w:sz w:val="20"/>
                <w:szCs w:val="20"/>
                <w:lang w:eastAsia="zh-CN"/>
              </w:rPr>
              <w:t xml:space="preserve"> Utmost Good Faith [1999] 20 </w:t>
            </w:r>
            <w:r w:rsidRPr="003B1993">
              <w:rPr>
                <w:rFonts w:ascii="Arial" w:eastAsia="+mn-ea" w:hAnsi="Arial" w:cs="Arial"/>
                <w:i/>
                <w:iCs/>
                <w:color w:val="1F1F1F"/>
                <w:kern w:val="24"/>
                <w:sz w:val="20"/>
                <w:szCs w:val="20"/>
                <w:lang w:eastAsia="zh-CN"/>
              </w:rPr>
              <w:t>Singapore Law Review</w:t>
            </w:r>
            <w:r w:rsidRPr="003B1993">
              <w:rPr>
                <w:rFonts w:ascii="Arial" w:eastAsia="+mn-ea" w:hAnsi="Arial" w:cs="Arial"/>
                <w:color w:val="1F1F1F"/>
                <w:kern w:val="24"/>
                <w:sz w:val="20"/>
                <w:szCs w:val="20"/>
                <w:lang w:eastAsia="zh-CN"/>
              </w:rPr>
              <w:t xml:space="preserve"> 281 – 336.</w:t>
            </w:r>
          </w:p>
          <w:p w14:paraId="4EE75AC5" w14:textId="77777777" w:rsidR="003B1993" w:rsidRPr="003B1993" w:rsidRDefault="003B1993" w:rsidP="00EA477F">
            <w:pPr>
              <w:numPr>
                <w:ilvl w:val="0"/>
                <w:numId w:val="4"/>
              </w:numPr>
              <w:spacing w:before="120" w:after="240" w:line="360" w:lineRule="auto"/>
              <w:rPr>
                <w:rFonts w:ascii="Arial" w:hAnsi="Arial" w:cs="Arial"/>
                <w:sz w:val="20"/>
                <w:szCs w:val="20"/>
                <w:lang w:val="en-SG" w:eastAsia="zh-CN"/>
              </w:rPr>
            </w:pPr>
            <w:r w:rsidRPr="003B1993">
              <w:rPr>
                <w:rFonts w:ascii="Arial" w:eastAsia="+mn-ea" w:hAnsi="Arial" w:cs="Arial"/>
                <w:color w:val="1F1F1F"/>
                <w:kern w:val="24"/>
                <w:sz w:val="20"/>
                <w:szCs w:val="20"/>
                <w:lang w:eastAsia="zh-CN"/>
              </w:rPr>
              <w:t>Key Developments in Singapore Ship Arrest Laws: A Practitioner’s Perspective [2015] 1 Tur. Com. L. Rev. 253-264</w:t>
            </w:r>
          </w:p>
          <w:p w14:paraId="1C921C6C" w14:textId="77777777" w:rsidR="003B1993" w:rsidRPr="003B1993" w:rsidRDefault="003B1993" w:rsidP="00EA477F">
            <w:pPr>
              <w:numPr>
                <w:ilvl w:val="0"/>
                <w:numId w:val="4"/>
              </w:numPr>
              <w:spacing w:before="120" w:after="240" w:line="360" w:lineRule="auto"/>
              <w:rPr>
                <w:rFonts w:ascii="Arial" w:hAnsi="Arial" w:cs="Arial"/>
                <w:sz w:val="20"/>
                <w:szCs w:val="20"/>
                <w:lang w:val="en-SG" w:eastAsia="zh-CN"/>
              </w:rPr>
            </w:pPr>
            <w:r w:rsidRPr="003B1993">
              <w:rPr>
                <w:rFonts w:ascii="Arial" w:eastAsia="+mn-ea" w:hAnsi="Arial" w:cs="Arial"/>
                <w:color w:val="1F1F1F"/>
                <w:kern w:val="24"/>
                <w:sz w:val="20"/>
                <w:szCs w:val="20"/>
                <w:lang w:eastAsia="zh-CN"/>
              </w:rPr>
              <w:t>Co-author, The Shipping Law Review (UK Edition, 2014, 2015)</w:t>
            </w:r>
          </w:p>
          <w:p w14:paraId="2C592172" w14:textId="7D6314AF" w:rsidR="003B1993" w:rsidRPr="003B1993" w:rsidRDefault="003B1993" w:rsidP="00EA477F">
            <w:pPr>
              <w:numPr>
                <w:ilvl w:val="0"/>
                <w:numId w:val="4"/>
              </w:numPr>
              <w:spacing w:before="120" w:after="240" w:line="360" w:lineRule="auto"/>
              <w:rPr>
                <w:rFonts w:ascii="Arial" w:hAnsi="Arial" w:cs="Arial"/>
                <w:sz w:val="20"/>
                <w:szCs w:val="20"/>
                <w:lang w:val="en-SG" w:eastAsia="zh-CN"/>
              </w:rPr>
            </w:pPr>
            <w:r w:rsidRPr="003B1993">
              <w:rPr>
                <w:rFonts w:ascii="Arial" w:eastAsia="+mn-ea" w:hAnsi="Arial" w:cs="Arial"/>
                <w:color w:val="1F1F1F"/>
                <w:kern w:val="24"/>
                <w:sz w:val="20"/>
                <w:szCs w:val="20"/>
                <w:lang w:eastAsia="zh-CN"/>
              </w:rPr>
              <w:t xml:space="preserve">Author, </w:t>
            </w:r>
            <w:r w:rsidRPr="003B1993">
              <w:rPr>
                <w:rFonts w:ascii="Arial" w:eastAsia="+mn-ea" w:hAnsi="Arial" w:cs="Arial"/>
                <w:i/>
                <w:iCs/>
                <w:color w:val="1F1F1F"/>
                <w:kern w:val="24"/>
                <w:sz w:val="20"/>
                <w:szCs w:val="20"/>
                <w:lang w:eastAsia="zh-CN"/>
              </w:rPr>
              <w:t>The International Comparative Legal Guide to Shipping Law</w:t>
            </w:r>
            <w:r w:rsidRPr="003B1993">
              <w:rPr>
                <w:rFonts w:ascii="Arial" w:eastAsia="+mn-ea" w:hAnsi="Arial" w:cs="Arial"/>
                <w:color w:val="1F1F1F"/>
                <w:kern w:val="24"/>
                <w:sz w:val="20"/>
                <w:szCs w:val="20"/>
                <w:lang w:eastAsia="zh-CN"/>
              </w:rPr>
              <w:t xml:space="preserve"> (2015, 2016)</w:t>
            </w:r>
          </w:p>
          <w:p w14:paraId="7264CD74" w14:textId="77777777" w:rsidR="003B1993" w:rsidRPr="003B1993" w:rsidRDefault="003B1993" w:rsidP="00EA477F">
            <w:pPr>
              <w:numPr>
                <w:ilvl w:val="0"/>
                <w:numId w:val="4"/>
              </w:numPr>
              <w:spacing w:before="120" w:after="240" w:line="360" w:lineRule="auto"/>
              <w:rPr>
                <w:rFonts w:ascii="Arial" w:hAnsi="Arial" w:cs="Arial"/>
                <w:sz w:val="20"/>
                <w:szCs w:val="20"/>
                <w:lang w:val="en-SG" w:eastAsia="zh-CN"/>
              </w:rPr>
            </w:pPr>
            <w:r w:rsidRPr="003B1993">
              <w:rPr>
                <w:rFonts w:ascii="Arial" w:eastAsia="+mn-ea" w:hAnsi="Arial" w:cs="Arial"/>
                <w:color w:val="1F1F1F"/>
                <w:kern w:val="24"/>
                <w:sz w:val="20"/>
                <w:szCs w:val="20"/>
                <w:lang w:eastAsia="zh-CN"/>
              </w:rPr>
              <w:t xml:space="preserve">Author, </w:t>
            </w:r>
            <w:r w:rsidRPr="003B1993">
              <w:rPr>
                <w:rFonts w:ascii="Arial" w:eastAsia="+mn-ea" w:hAnsi="Arial" w:cs="Arial"/>
                <w:i/>
                <w:iCs/>
                <w:color w:val="1F1F1F"/>
                <w:kern w:val="24"/>
                <w:sz w:val="20"/>
                <w:szCs w:val="20"/>
                <w:lang w:eastAsia="zh-CN"/>
              </w:rPr>
              <w:t>Expert Guide</w:t>
            </w:r>
            <w:r w:rsidRPr="003B1993">
              <w:rPr>
                <w:rFonts w:ascii="Arial" w:eastAsia="+mn-ea" w:hAnsi="Arial" w:cs="Arial"/>
                <w:color w:val="1F1F1F"/>
                <w:kern w:val="24"/>
                <w:sz w:val="20"/>
                <w:szCs w:val="20"/>
                <w:lang w:eastAsia="zh-CN"/>
              </w:rPr>
              <w:t>, Shipping &amp; Maritime Law (2016)</w:t>
            </w:r>
          </w:p>
          <w:p w14:paraId="202AE071" w14:textId="77777777" w:rsidR="003B1993" w:rsidRPr="00DE1C51" w:rsidRDefault="003B1993" w:rsidP="00EA477F">
            <w:pPr>
              <w:numPr>
                <w:ilvl w:val="0"/>
                <w:numId w:val="4"/>
              </w:numPr>
              <w:spacing w:before="120" w:after="240" w:line="360" w:lineRule="auto"/>
              <w:rPr>
                <w:rFonts w:ascii="Arial" w:hAnsi="Arial" w:cs="Arial"/>
                <w:sz w:val="20"/>
                <w:szCs w:val="20"/>
                <w:lang w:val="en-SG" w:eastAsia="zh-CN"/>
              </w:rPr>
            </w:pPr>
            <w:r w:rsidRPr="003B1993">
              <w:rPr>
                <w:rFonts w:ascii="Arial" w:eastAsia="+mn-ea" w:hAnsi="Arial" w:cs="Arial"/>
                <w:color w:val="1F1F1F"/>
                <w:kern w:val="24"/>
                <w:sz w:val="20"/>
                <w:szCs w:val="20"/>
                <w:lang w:eastAsia="zh-CN"/>
              </w:rPr>
              <w:t>Featured in HFW Litigation’s report on the future of dispute resolution (2021)</w:t>
            </w:r>
          </w:p>
          <w:p w14:paraId="1C043DBE" w14:textId="42399B1A" w:rsidR="003B1993" w:rsidRPr="003B1993" w:rsidRDefault="003B1993" w:rsidP="00EA477F">
            <w:pPr>
              <w:numPr>
                <w:ilvl w:val="0"/>
                <w:numId w:val="4"/>
              </w:numPr>
              <w:spacing w:before="120" w:after="240" w:line="360" w:lineRule="auto"/>
              <w:rPr>
                <w:rFonts w:ascii="Arial" w:hAnsi="Arial" w:cs="Arial"/>
                <w:sz w:val="20"/>
                <w:szCs w:val="20"/>
                <w:lang w:val="en-SG" w:eastAsia="zh-CN"/>
              </w:rPr>
            </w:pPr>
            <w:r w:rsidRPr="00DE1C51">
              <w:rPr>
                <w:rFonts w:ascii="Arial" w:eastAsia="+mn-ea" w:hAnsi="Arial" w:cs="Arial"/>
                <w:color w:val="1F1F1F"/>
                <w:kern w:val="24"/>
                <w:sz w:val="20"/>
                <w:szCs w:val="20"/>
                <w:lang w:eastAsia="zh-CN"/>
              </w:rPr>
              <w:t xml:space="preserve">Co-author, </w:t>
            </w:r>
            <w:r w:rsidRPr="00DE1C51">
              <w:rPr>
                <w:rFonts w:ascii="Arial" w:eastAsia="+mn-ea" w:hAnsi="Arial" w:cs="Arial"/>
                <w:i/>
                <w:iCs/>
                <w:color w:val="1F1F1F"/>
                <w:kern w:val="24"/>
                <w:sz w:val="20"/>
                <w:szCs w:val="20"/>
                <w:lang w:eastAsia="zh-CN"/>
              </w:rPr>
              <w:t xml:space="preserve">The SCMA Enforcement Series </w:t>
            </w:r>
            <w:r w:rsidR="00DE1C51" w:rsidRPr="00DE1C51">
              <w:rPr>
                <w:rFonts w:ascii="Arial" w:eastAsia="+mn-ea" w:hAnsi="Arial" w:cs="Arial"/>
                <w:color w:val="1F1F1F"/>
                <w:kern w:val="24"/>
                <w:sz w:val="20"/>
                <w:szCs w:val="20"/>
                <w:lang w:eastAsia="zh-CN"/>
              </w:rPr>
              <w:t>(</w:t>
            </w:r>
            <w:r w:rsidRPr="00DE1C51">
              <w:rPr>
                <w:rFonts w:ascii="Arial" w:eastAsia="+mn-ea" w:hAnsi="Arial" w:cs="Arial"/>
                <w:color w:val="1F1F1F"/>
                <w:kern w:val="24"/>
                <w:sz w:val="20"/>
                <w:szCs w:val="20"/>
                <w:lang w:eastAsia="zh-CN"/>
              </w:rPr>
              <w:t>2026</w:t>
            </w:r>
            <w:r w:rsidR="00DE1C51" w:rsidRPr="00DE1C51">
              <w:rPr>
                <w:rFonts w:ascii="Arial" w:eastAsia="+mn-ea" w:hAnsi="Arial" w:cs="Arial"/>
                <w:color w:val="1F1F1F"/>
                <w:kern w:val="24"/>
                <w:sz w:val="20"/>
                <w:szCs w:val="20"/>
                <w:lang w:eastAsia="zh-CN"/>
              </w:rPr>
              <w:t>) – Brunei Chapter</w:t>
            </w:r>
          </w:p>
          <w:p w14:paraId="4D234943" w14:textId="7F87145E" w:rsidR="00F90E93" w:rsidRDefault="00F90E93" w:rsidP="00276E28">
            <w:pPr>
              <w:spacing w:before="60" w:after="60"/>
              <w:rPr>
                <w:rFonts w:ascii="Arial" w:hAnsi="Arial" w:cs="Arial"/>
                <w:sz w:val="20"/>
                <w:szCs w:val="20"/>
              </w:rPr>
            </w:pPr>
          </w:p>
        </w:tc>
      </w:tr>
      <w:tr w:rsidR="00F90E93" w:rsidRPr="00B80829" w14:paraId="51209A12" w14:textId="77777777" w:rsidTr="00F90E93">
        <w:tc>
          <w:tcPr>
            <w:tcW w:w="10314" w:type="dxa"/>
            <w:shd w:val="clear" w:color="auto" w:fill="D9D9D9" w:themeFill="background1" w:themeFillShade="D9"/>
          </w:tcPr>
          <w:p w14:paraId="47959922" w14:textId="72C7012A" w:rsidR="00F90E93" w:rsidRPr="000638A6" w:rsidRDefault="00F90E93" w:rsidP="00276E28">
            <w:pPr>
              <w:spacing w:before="60" w:after="60"/>
              <w:rPr>
                <w:rFonts w:ascii="Arial" w:hAnsi="Arial" w:cs="Arial"/>
                <w:b/>
                <w:bCs/>
                <w:sz w:val="20"/>
                <w:szCs w:val="20"/>
              </w:rPr>
            </w:pPr>
            <w:r w:rsidRPr="000638A6">
              <w:rPr>
                <w:rFonts w:ascii="Arial" w:hAnsi="Arial" w:cs="Arial"/>
                <w:b/>
                <w:bCs/>
                <w:sz w:val="20"/>
                <w:szCs w:val="20"/>
              </w:rPr>
              <w:t>Languages</w:t>
            </w:r>
          </w:p>
        </w:tc>
      </w:tr>
      <w:tr w:rsidR="00F90E93" w:rsidRPr="00B80829" w14:paraId="60D6BD40" w14:textId="77777777" w:rsidTr="002F7E72">
        <w:trPr>
          <w:trHeight w:val="719"/>
        </w:trPr>
        <w:tc>
          <w:tcPr>
            <w:tcW w:w="10314" w:type="dxa"/>
          </w:tcPr>
          <w:p w14:paraId="3974C326" w14:textId="1B69A6DA" w:rsidR="00F90E93" w:rsidRDefault="00F90E93" w:rsidP="00276E28">
            <w:pPr>
              <w:spacing w:before="60" w:after="60"/>
              <w:rPr>
                <w:rFonts w:ascii="Arial" w:hAnsi="Arial" w:cs="Arial"/>
                <w:sz w:val="20"/>
                <w:szCs w:val="20"/>
              </w:rPr>
            </w:pPr>
          </w:p>
          <w:p w14:paraId="78511427" w14:textId="104A27F8" w:rsidR="000638A6" w:rsidRDefault="00EA477F" w:rsidP="00276E28">
            <w:pPr>
              <w:spacing w:before="60" w:after="60"/>
              <w:rPr>
                <w:rFonts w:ascii="Arial" w:hAnsi="Arial" w:cs="Arial"/>
                <w:sz w:val="20"/>
                <w:szCs w:val="20"/>
              </w:rPr>
            </w:pPr>
            <w:r>
              <w:rPr>
                <w:rFonts w:ascii="Arial" w:hAnsi="Arial" w:cs="Arial"/>
                <w:sz w:val="20"/>
                <w:szCs w:val="20"/>
              </w:rPr>
              <w:t>English, Mandarin</w:t>
            </w:r>
          </w:p>
          <w:p w14:paraId="40E308D5" w14:textId="4F6F6843" w:rsidR="00F90E93" w:rsidRPr="00B80829" w:rsidRDefault="00F90E93" w:rsidP="00276E28">
            <w:pPr>
              <w:spacing w:before="60" w:after="60"/>
              <w:rPr>
                <w:rFonts w:ascii="Arial" w:hAnsi="Arial" w:cs="Arial"/>
                <w:sz w:val="20"/>
                <w:szCs w:val="20"/>
              </w:rPr>
            </w:pPr>
          </w:p>
        </w:tc>
      </w:tr>
    </w:tbl>
    <w:p w14:paraId="6A9B3133" w14:textId="264F0888" w:rsidR="00376533" w:rsidRPr="00B80829" w:rsidRDefault="00376533">
      <w:pPr>
        <w:rPr>
          <w:rFonts w:ascii="Arial" w:hAnsi="Arial" w:cs="Arial"/>
          <w:sz w:val="20"/>
          <w:szCs w:val="20"/>
        </w:rPr>
      </w:pPr>
    </w:p>
    <w:sectPr w:rsidR="00376533" w:rsidRPr="00B80829" w:rsidSect="00337607">
      <w:pgSz w:w="12240" w:h="15840"/>
      <w:pgMar w:top="227" w:right="851" w:bottom="51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8DB"/>
    <w:multiLevelType w:val="hybridMultilevel"/>
    <w:tmpl w:val="58EA9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32473"/>
    <w:multiLevelType w:val="hybridMultilevel"/>
    <w:tmpl w:val="C058A47E"/>
    <w:lvl w:ilvl="0" w:tplc="C5FCD31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F3C139A"/>
    <w:multiLevelType w:val="hybridMultilevel"/>
    <w:tmpl w:val="38AC9B8C"/>
    <w:lvl w:ilvl="0" w:tplc="DE04E174">
      <w:start w:val="1"/>
      <w:numFmt w:val="bullet"/>
      <w:lvlText w:val="•"/>
      <w:lvlJc w:val="left"/>
      <w:pPr>
        <w:tabs>
          <w:tab w:val="num" w:pos="720"/>
        </w:tabs>
        <w:ind w:left="720" w:hanging="360"/>
      </w:pPr>
      <w:rPr>
        <w:rFonts w:ascii="Arial" w:hAnsi="Arial" w:hint="default"/>
      </w:rPr>
    </w:lvl>
    <w:lvl w:ilvl="1" w:tplc="AF9C620E" w:tentative="1">
      <w:start w:val="1"/>
      <w:numFmt w:val="bullet"/>
      <w:lvlText w:val="•"/>
      <w:lvlJc w:val="left"/>
      <w:pPr>
        <w:tabs>
          <w:tab w:val="num" w:pos="1440"/>
        </w:tabs>
        <w:ind w:left="1440" w:hanging="360"/>
      </w:pPr>
      <w:rPr>
        <w:rFonts w:ascii="Arial" w:hAnsi="Arial" w:hint="default"/>
      </w:rPr>
    </w:lvl>
    <w:lvl w:ilvl="2" w:tplc="236EA13E" w:tentative="1">
      <w:start w:val="1"/>
      <w:numFmt w:val="bullet"/>
      <w:lvlText w:val="•"/>
      <w:lvlJc w:val="left"/>
      <w:pPr>
        <w:tabs>
          <w:tab w:val="num" w:pos="2160"/>
        </w:tabs>
        <w:ind w:left="2160" w:hanging="360"/>
      </w:pPr>
      <w:rPr>
        <w:rFonts w:ascii="Arial" w:hAnsi="Arial" w:hint="default"/>
      </w:rPr>
    </w:lvl>
    <w:lvl w:ilvl="3" w:tplc="5810EFAA" w:tentative="1">
      <w:start w:val="1"/>
      <w:numFmt w:val="bullet"/>
      <w:lvlText w:val="•"/>
      <w:lvlJc w:val="left"/>
      <w:pPr>
        <w:tabs>
          <w:tab w:val="num" w:pos="2880"/>
        </w:tabs>
        <w:ind w:left="2880" w:hanging="360"/>
      </w:pPr>
      <w:rPr>
        <w:rFonts w:ascii="Arial" w:hAnsi="Arial" w:hint="default"/>
      </w:rPr>
    </w:lvl>
    <w:lvl w:ilvl="4" w:tplc="E6BE9F14" w:tentative="1">
      <w:start w:val="1"/>
      <w:numFmt w:val="bullet"/>
      <w:lvlText w:val="•"/>
      <w:lvlJc w:val="left"/>
      <w:pPr>
        <w:tabs>
          <w:tab w:val="num" w:pos="3600"/>
        </w:tabs>
        <w:ind w:left="3600" w:hanging="360"/>
      </w:pPr>
      <w:rPr>
        <w:rFonts w:ascii="Arial" w:hAnsi="Arial" w:hint="default"/>
      </w:rPr>
    </w:lvl>
    <w:lvl w:ilvl="5" w:tplc="53426A72" w:tentative="1">
      <w:start w:val="1"/>
      <w:numFmt w:val="bullet"/>
      <w:lvlText w:val="•"/>
      <w:lvlJc w:val="left"/>
      <w:pPr>
        <w:tabs>
          <w:tab w:val="num" w:pos="4320"/>
        </w:tabs>
        <w:ind w:left="4320" w:hanging="360"/>
      </w:pPr>
      <w:rPr>
        <w:rFonts w:ascii="Arial" w:hAnsi="Arial" w:hint="default"/>
      </w:rPr>
    </w:lvl>
    <w:lvl w:ilvl="6" w:tplc="F03E153A" w:tentative="1">
      <w:start w:val="1"/>
      <w:numFmt w:val="bullet"/>
      <w:lvlText w:val="•"/>
      <w:lvlJc w:val="left"/>
      <w:pPr>
        <w:tabs>
          <w:tab w:val="num" w:pos="5040"/>
        </w:tabs>
        <w:ind w:left="5040" w:hanging="360"/>
      </w:pPr>
      <w:rPr>
        <w:rFonts w:ascii="Arial" w:hAnsi="Arial" w:hint="default"/>
      </w:rPr>
    </w:lvl>
    <w:lvl w:ilvl="7" w:tplc="D8C23634" w:tentative="1">
      <w:start w:val="1"/>
      <w:numFmt w:val="bullet"/>
      <w:lvlText w:val="•"/>
      <w:lvlJc w:val="left"/>
      <w:pPr>
        <w:tabs>
          <w:tab w:val="num" w:pos="5760"/>
        </w:tabs>
        <w:ind w:left="5760" w:hanging="360"/>
      </w:pPr>
      <w:rPr>
        <w:rFonts w:ascii="Arial" w:hAnsi="Arial" w:hint="default"/>
      </w:rPr>
    </w:lvl>
    <w:lvl w:ilvl="8" w:tplc="DE482A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68D0BB2"/>
    <w:multiLevelType w:val="hybridMultilevel"/>
    <w:tmpl w:val="C9F6A124"/>
    <w:lvl w:ilvl="0" w:tplc="4A2ABD98">
      <w:start w:val="1"/>
      <w:numFmt w:val="bullet"/>
      <w:lvlText w:val="•"/>
      <w:lvlJc w:val="left"/>
      <w:pPr>
        <w:tabs>
          <w:tab w:val="num" w:pos="720"/>
        </w:tabs>
        <w:ind w:left="720" w:hanging="360"/>
      </w:pPr>
      <w:rPr>
        <w:rFonts w:ascii="Arial" w:hAnsi="Arial" w:hint="default"/>
      </w:rPr>
    </w:lvl>
    <w:lvl w:ilvl="1" w:tplc="1C74FAAA" w:tentative="1">
      <w:start w:val="1"/>
      <w:numFmt w:val="bullet"/>
      <w:lvlText w:val="•"/>
      <w:lvlJc w:val="left"/>
      <w:pPr>
        <w:tabs>
          <w:tab w:val="num" w:pos="1440"/>
        </w:tabs>
        <w:ind w:left="1440" w:hanging="360"/>
      </w:pPr>
      <w:rPr>
        <w:rFonts w:ascii="Arial" w:hAnsi="Arial" w:hint="default"/>
      </w:rPr>
    </w:lvl>
    <w:lvl w:ilvl="2" w:tplc="E0DCD650" w:tentative="1">
      <w:start w:val="1"/>
      <w:numFmt w:val="bullet"/>
      <w:lvlText w:val="•"/>
      <w:lvlJc w:val="left"/>
      <w:pPr>
        <w:tabs>
          <w:tab w:val="num" w:pos="2160"/>
        </w:tabs>
        <w:ind w:left="2160" w:hanging="360"/>
      </w:pPr>
      <w:rPr>
        <w:rFonts w:ascii="Arial" w:hAnsi="Arial" w:hint="default"/>
      </w:rPr>
    </w:lvl>
    <w:lvl w:ilvl="3" w:tplc="51B64D74" w:tentative="1">
      <w:start w:val="1"/>
      <w:numFmt w:val="bullet"/>
      <w:lvlText w:val="•"/>
      <w:lvlJc w:val="left"/>
      <w:pPr>
        <w:tabs>
          <w:tab w:val="num" w:pos="2880"/>
        </w:tabs>
        <w:ind w:left="2880" w:hanging="360"/>
      </w:pPr>
      <w:rPr>
        <w:rFonts w:ascii="Arial" w:hAnsi="Arial" w:hint="default"/>
      </w:rPr>
    </w:lvl>
    <w:lvl w:ilvl="4" w:tplc="B838F616" w:tentative="1">
      <w:start w:val="1"/>
      <w:numFmt w:val="bullet"/>
      <w:lvlText w:val="•"/>
      <w:lvlJc w:val="left"/>
      <w:pPr>
        <w:tabs>
          <w:tab w:val="num" w:pos="3600"/>
        </w:tabs>
        <w:ind w:left="3600" w:hanging="360"/>
      </w:pPr>
      <w:rPr>
        <w:rFonts w:ascii="Arial" w:hAnsi="Arial" w:hint="default"/>
      </w:rPr>
    </w:lvl>
    <w:lvl w:ilvl="5" w:tplc="69182E1C" w:tentative="1">
      <w:start w:val="1"/>
      <w:numFmt w:val="bullet"/>
      <w:lvlText w:val="•"/>
      <w:lvlJc w:val="left"/>
      <w:pPr>
        <w:tabs>
          <w:tab w:val="num" w:pos="4320"/>
        </w:tabs>
        <w:ind w:left="4320" w:hanging="360"/>
      </w:pPr>
      <w:rPr>
        <w:rFonts w:ascii="Arial" w:hAnsi="Arial" w:hint="default"/>
      </w:rPr>
    </w:lvl>
    <w:lvl w:ilvl="6" w:tplc="7466F1BC" w:tentative="1">
      <w:start w:val="1"/>
      <w:numFmt w:val="bullet"/>
      <w:lvlText w:val="•"/>
      <w:lvlJc w:val="left"/>
      <w:pPr>
        <w:tabs>
          <w:tab w:val="num" w:pos="5040"/>
        </w:tabs>
        <w:ind w:left="5040" w:hanging="360"/>
      </w:pPr>
      <w:rPr>
        <w:rFonts w:ascii="Arial" w:hAnsi="Arial" w:hint="default"/>
      </w:rPr>
    </w:lvl>
    <w:lvl w:ilvl="7" w:tplc="439E59C0" w:tentative="1">
      <w:start w:val="1"/>
      <w:numFmt w:val="bullet"/>
      <w:lvlText w:val="•"/>
      <w:lvlJc w:val="left"/>
      <w:pPr>
        <w:tabs>
          <w:tab w:val="num" w:pos="5760"/>
        </w:tabs>
        <w:ind w:left="5760" w:hanging="360"/>
      </w:pPr>
      <w:rPr>
        <w:rFonts w:ascii="Arial" w:hAnsi="Arial" w:hint="default"/>
      </w:rPr>
    </w:lvl>
    <w:lvl w:ilvl="8" w:tplc="A1CEF676" w:tentative="1">
      <w:start w:val="1"/>
      <w:numFmt w:val="bullet"/>
      <w:lvlText w:val="•"/>
      <w:lvlJc w:val="left"/>
      <w:pPr>
        <w:tabs>
          <w:tab w:val="num" w:pos="6480"/>
        </w:tabs>
        <w:ind w:left="6480" w:hanging="360"/>
      </w:pPr>
      <w:rPr>
        <w:rFonts w:ascii="Arial" w:hAnsi="Arial" w:hint="default"/>
      </w:rPr>
    </w:lvl>
  </w:abstractNum>
  <w:num w:numId="1" w16cid:durableId="2093548147">
    <w:abstractNumId w:val="0"/>
  </w:num>
  <w:num w:numId="2" w16cid:durableId="865483708">
    <w:abstractNumId w:val="1"/>
  </w:num>
  <w:num w:numId="3" w16cid:durableId="1369335143">
    <w:abstractNumId w:val="2"/>
  </w:num>
  <w:num w:numId="4" w16cid:durableId="1664122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0A"/>
    <w:rsid w:val="00013A56"/>
    <w:rsid w:val="00014864"/>
    <w:rsid w:val="00034705"/>
    <w:rsid w:val="000638A6"/>
    <w:rsid w:val="00081F24"/>
    <w:rsid w:val="00135B3E"/>
    <w:rsid w:val="001D1C12"/>
    <w:rsid w:val="0020154A"/>
    <w:rsid w:val="002049A2"/>
    <w:rsid w:val="00276E28"/>
    <w:rsid w:val="002F0274"/>
    <w:rsid w:val="002F7E72"/>
    <w:rsid w:val="00346DE4"/>
    <w:rsid w:val="00376533"/>
    <w:rsid w:val="003B1993"/>
    <w:rsid w:val="003D147E"/>
    <w:rsid w:val="00414943"/>
    <w:rsid w:val="00417210"/>
    <w:rsid w:val="00454940"/>
    <w:rsid w:val="004F2CBA"/>
    <w:rsid w:val="005278CD"/>
    <w:rsid w:val="005C44CC"/>
    <w:rsid w:val="00620EBD"/>
    <w:rsid w:val="006305EE"/>
    <w:rsid w:val="00664C38"/>
    <w:rsid w:val="006908ED"/>
    <w:rsid w:val="006A3785"/>
    <w:rsid w:val="006D249A"/>
    <w:rsid w:val="00742FDB"/>
    <w:rsid w:val="00762B0A"/>
    <w:rsid w:val="007D6C78"/>
    <w:rsid w:val="0082467C"/>
    <w:rsid w:val="00843B63"/>
    <w:rsid w:val="00846D27"/>
    <w:rsid w:val="008923C0"/>
    <w:rsid w:val="0096758E"/>
    <w:rsid w:val="009C1AF7"/>
    <w:rsid w:val="00A4194F"/>
    <w:rsid w:val="00A46509"/>
    <w:rsid w:val="00A47124"/>
    <w:rsid w:val="00A536D0"/>
    <w:rsid w:val="00A54283"/>
    <w:rsid w:val="00A86399"/>
    <w:rsid w:val="00AD0BBC"/>
    <w:rsid w:val="00B30AE2"/>
    <w:rsid w:val="00B61BE7"/>
    <w:rsid w:val="00B80829"/>
    <w:rsid w:val="00BC67BF"/>
    <w:rsid w:val="00BF5036"/>
    <w:rsid w:val="00C00FEB"/>
    <w:rsid w:val="00C74EC1"/>
    <w:rsid w:val="00C90F15"/>
    <w:rsid w:val="00CB1DC0"/>
    <w:rsid w:val="00CC4598"/>
    <w:rsid w:val="00CD66DD"/>
    <w:rsid w:val="00CE1C79"/>
    <w:rsid w:val="00CF404F"/>
    <w:rsid w:val="00D218A1"/>
    <w:rsid w:val="00D23088"/>
    <w:rsid w:val="00D4626C"/>
    <w:rsid w:val="00D53CCB"/>
    <w:rsid w:val="00D94E6E"/>
    <w:rsid w:val="00DA73E1"/>
    <w:rsid w:val="00DB6CD3"/>
    <w:rsid w:val="00DE1C51"/>
    <w:rsid w:val="00DF157A"/>
    <w:rsid w:val="00E02A01"/>
    <w:rsid w:val="00E15C08"/>
    <w:rsid w:val="00E40FF1"/>
    <w:rsid w:val="00E52423"/>
    <w:rsid w:val="00E57218"/>
    <w:rsid w:val="00E71AC3"/>
    <w:rsid w:val="00EA477F"/>
    <w:rsid w:val="00ED6C17"/>
    <w:rsid w:val="00F122EF"/>
    <w:rsid w:val="00F15BF6"/>
    <w:rsid w:val="00F30850"/>
    <w:rsid w:val="00F90E93"/>
    <w:rsid w:val="00F92F0D"/>
    <w:rsid w:val="00F95457"/>
    <w:rsid w:val="00FD4426"/>
    <w:rsid w:val="00FF7D5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A455"/>
  <w15:chartTrackingRefBased/>
  <w15:docId w15:val="{7D8FFEE2-9F5C-44FB-A5FB-C91718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B0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62B0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B0A"/>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762B0A"/>
    <w:pPr>
      <w:ind w:left="720"/>
    </w:pPr>
  </w:style>
  <w:style w:type="paragraph" w:customStyle="1" w:styleId="CVNameAshurst">
    <w:name w:val="CVNameAshurst"/>
    <w:basedOn w:val="Normal"/>
    <w:next w:val="Normal"/>
    <w:rsid w:val="00762B0A"/>
    <w:pPr>
      <w:keepNext/>
      <w:suppressAutoHyphens/>
      <w:spacing w:line="320" w:lineRule="atLeast"/>
    </w:pPr>
    <w:rPr>
      <w:rFonts w:ascii="Verdana" w:hAnsi="Verdana"/>
      <w:b/>
      <w:lang w:val="en-GB" w:eastAsia="en-GB"/>
    </w:rPr>
  </w:style>
  <w:style w:type="character" w:styleId="Hyperlink">
    <w:name w:val="Hyperlink"/>
    <w:rsid w:val="00762B0A"/>
    <w:rPr>
      <w:color w:val="0000FF"/>
      <w:u w:val="single"/>
    </w:rPr>
  </w:style>
  <w:style w:type="paragraph" w:styleId="BalloonText">
    <w:name w:val="Balloon Text"/>
    <w:basedOn w:val="Normal"/>
    <w:link w:val="BalloonTextChar"/>
    <w:uiPriority w:val="99"/>
    <w:semiHidden/>
    <w:unhideWhenUsed/>
    <w:rsid w:val="00762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B0A"/>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CB1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ndall.tan@rajahtan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FBD0F-6DA8-41BE-9E14-67AC6B9090BC}">
  <ds:schemaRefs>
    <ds:schemaRef ds:uri="http://schemas.openxmlformats.org/officeDocument/2006/bibliography"/>
  </ds:schemaRefs>
</ds:datastoreItem>
</file>

<file path=docMetadata/LabelInfo.xml><?xml version="1.0" encoding="utf-8"?>
<clbl:labelList xmlns:clbl="http://schemas.microsoft.com/office/2020/mipLabelMetadata">
  <clbl:label id="{1760a3d1-8aa3-4c50-bc31-1b2df18e917e}" enabled="0" method="" siteId="{1760a3d1-8aa3-4c50-bc31-1b2df18e917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4032</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Shabira Syed Salleh</dc:creator>
  <cp:keywords/>
  <dc:description/>
  <cp:lastModifiedBy>Rajah &amp; Tann</cp:lastModifiedBy>
  <cp:revision>2</cp:revision>
  <cp:lastPrinted>2021-04-22T04:05:00Z</cp:lastPrinted>
  <dcterms:created xsi:type="dcterms:W3CDTF">2026-04-20T07:47:00Z</dcterms:created>
  <dcterms:modified xsi:type="dcterms:W3CDTF">2026-04-20T07:47:00Z</dcterms:modified>
</cp:coreProperties>
</file>